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E92" w:rsidRPr="001F5ECB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БАЗОВИЙ ЗВІТ З ЯКОСТІ РЕЗУЛЬТАТІВ </w:t>
      </w:r>
    </w:p>
    <w:p w:rsidR="00F17BE8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ОБСТЕЖЕННЯ</w:t>
      </w:r>
      <w:r w:rsidR="007228D9" w:rsidRPr="007228D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7228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ВИТРАТ</w:t>
      </w: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ПІДПРИЄМСТВ</w:t>
      </w:r>
      <w:r w:rsidR="001F5ECB"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21E92" w:rsidRPr="001F5ECB" w:rsidRDefault="007228D9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УТРИМАННЯ РОБОЧОЇ СИЛИ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21E92" w:rsidRDefault="00917EA7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7228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21E92" w:rsidRPr="00121E92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1E92" w:rsidRPr="00121E92" w:rsidRDefault="00121E92" w:rsidP="00A43C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Метою складання базового звіту з якості є інформування користувачів щодо основних критеріїв та індикаторів якості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результатів вибіркового обстеження </w:t>
      </w:r>
      <w:r w:rsidR="007228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228D9" w:rsidRPr="007228D9">
        <w:rPr>
          <w:rFonts w:ascii="Times New Roman" w:hAnsi="Times New Roman" w:cs="Times New Roman"/>
          <w:color w:val="000000"/>
          <w:sz w:val="28"/>
          <w:szCs w:val="28"/>
        </w:rPr>
        <w:t>итрат підприємств на утримання робочої сили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1285">
        <w:rPr>
          <w:rFonts w:ascii="Times New Roman" w:hAnsi="Times New Roman" w:cs="Times New Roman"/>
          <w:color w:val="000000"/>
          <w:sz w:val="28"/>
          <w:szCs w:val="28"/>
        </w:rPr>
        <w:t>(далі –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68E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228D9" w:rsidRPr="00AE68E4">
        <w:rPr>
          <w:rFonts w:ascii="Times New Roman" w:hAnsi="Times New Roman" w:cs="Times New Roman"/>
          <w:color w:val="000000"/>
          <w:sz w:val="28"/>
          <w:szCs w:val="28"/>
        </w:rPr>
        <w:t>ВРС</w:t>
      </w:r>
      <w:r w:rsidR="0019128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B66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1E92" w:rsidRDefault="00121E92" w:rsidP="00A43C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У звіті 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>наведена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інформація </w:t>
      </w:r>
      <w:r w:rsidR="00366B6A">
        <w:rPr>
          <w:rFonts w:ascii="Times New Roman" w:hAnsi="Times New Roman" w:cs="Times New Roman"/>
          <w:color w:val="000000"/>
          <w:sz w:val="28"/>
          <w:szCs w:val="28"/>
        </w:rPr>
        <w:t>відносно таких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основн</w:t>
      </w:r>
      <w:r w:rsidR="00366B6A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критерії</w:t>
      </w:r>
      <w:r w:rsidR="00366B6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якості, як відповідність/релевантність, точність/надійність, </w:t>
      </w:r>
      <w:r w:rsidR="00321FDE">
        <w:rPr>
          <w:rFonts w:ascii="Times New Roman" w:hAnsi="Times New Roman" w:cs="Times New Roman"/>
          <w:color w:val="000000"/>
          <w:sz w:val="28"/>
          <w:szCs w:val="28"/>
        </w:rPr>
        <w:t>своєчасність та пунктуальність.</w:t>
      </w:r>
    </w:p>
    <w:p w:rsidR="00FE6352" w:rsidRPr="001C613C" w:rsidRDefault="00FE6352" w:rsidP="00FE6352">
      <w:pPr>
        <w:pStyle w:val="Default"/>
        <w:rPr>
          <w:sz w:val="28"/>
          <w:szCs w:val="28"/>
        </w:rPr>
      </w:pPr>
    </w:p>
    <w:p w:rsidR="00FE6352" w:rsidRDefault="00FE6352" w:rsidP="00CA6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6352">
        <w:rPr>
          <w:rFonts w:ascii="Times New Roman" w:hAnsi="Times New Roman" w:cs="Times New Roman"/>
          <w:b/>
          <w:color w:val="000000"/>
          <w:sz w:val="28"/>
          <w:szCs w:val="28"/>
        </w:rPr>
        <w:t>Ос</w:t>
      </w:r>
      <w:r w:rsidR="001C613C">
        <w:rPr>
          <w:rFonts w:ascii="Times New Roman" w:hAnsi="Times New Roman" w:cs="Times New Roman"/>
          <w:b/>
          <w:color w:val="000000"/>
          <w:sz w:val="28"/>
          <w:szCs w:val="28"/>
        </w:rPr>
        <w:t>новні характеристики обстеження</w:t>
      </w:r>
    </w:p>
    <w:p w:rsidR="001C613C" w:rsidRDefault="001C613C" w:rsidP="00FE635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  <w:gridCol w:w="6013"/>
      </w:tblGrid>
      <w:tr w:rsidR="00952908" w:rsidRPr="00952908" w:rsidTr="00F35F8B">
        <w:trPr>
          <w:trHeight w:val="775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0D6877" w:rsidP="000D687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Генеральна сукупність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юридичні особи та відокремлені підрозділи юридичних осіб (далі</w:t>
            </w:r>
            <w:r w:rsidR="000D6877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 w:rsidR="000D6877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респонденти) із середньою кількістю найманих працівників 10 і більше осіб </w:t>
            </w:r>
          </w:p>
        </w:tc>
      </w:tr>
      <w:tr w:rsidR="00952908" w:rsidRPr="00952908" w:rsidTr="00F35F8B">
        <w:trPr>
          <w:trHeight w:val="300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Географічне охоплення 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F85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регіони України</w:t>
            </w:r>
            <w:r w:rsidR="00F8521F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крім тимчасово о</w:t>
            </w:r>
            <w:r w:rsidR="00AE6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купованої території АР Крим, м.</w:t>
            </w:r>
            <w:r w:rsidR="00AE6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 </w:t>
            </w:r>
            <w:r w:rsidR="00F8521F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Севастополя та </w:t>
            </w:r>
            <w:r w:rsidR="006E1EEC" w:rsidRPr="006E1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частини тимчасово окупованих територій у Донецькій та Луганській областях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52908" w:rsidRPr="00952908" w:rsidTr="00F35F8B">
        <w:trPr>
          <w:trHeight w:val="514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Охоплення за видами економічної діяльності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ви</w:t>
            </w:r>
            <w:r w:rsidR="00892C05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 економічної діяльності</w:t>
            </w:r>
            <w:r w:rsidR="006E1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892C05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 ви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нятком секцій T і U</w:t>
            </w:r>
          </w:p>
        </w:tc>
      </w:tr>
      <w:tr w:rsidR="00952908" w:rsidRPr="00952908" w:rsidTr="00F35F8B">
        <w:trPr>
          <w:trHeight w:val="1683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C342D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Організація </w:t>
            </w:r>
            <w:r w:rsidR="002C27E6"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державного статистичного спостереження</w:t>
            </w:r>
          </w:p>
        </w:tc>
        <w:tc>
          <w:tcPr>
            <w:tcW w:w="6013" w:type="dxa"/>
            <w:shd w:val="clear" w:color="auto" w:fill="auto"/>
            <w:hideMark/>
          </w:tcPr>
          <w:p w:rsidR="00C342D4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 респонденти із середньою кількістю найманих працівників &gt; 249 осіб обстежуються на суцільній основі;</w:t>
            </w:r>
          </w:p>
          <w:p w:rsidR="00952908" w:rsidRPr="00952908" w:rsidRDefault="00952908" w:rsidP="00FA2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2)  респонденти </w:t>
            </w:r>
            <w:r w:rsidR="00C342D4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 середньою кількістю найманих працівників від 10 до 249 осіб обстежуються з в</w:t>
            </w:r>
            <w:r w:rsidR="00FA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икористанням вибіркового методу</w:t>
            </w:r>
          </w:p>
        </w:tc>
      </w:tr>
      <w:tr w:rsidR="00952908" w:rsidRPr="00952908" w:rsidTr="00F35F8B">
        <w:trPr>
          <w:trHeight w:val="461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Вид </w:t>
            </w:r>
            <w:r w:rsidR="002C27E6"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державного статистичного спостереження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(за ступенем охоплення одиниць) 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несуцільне вибіркове </w:t>
            </w:r>
          </w:p>
        </w:tc>
      </w:tr>
      <w:tr w:rsidR="00952908" w:rsidRPr="00952908" w:rsidTr="00F35F8B">
        <w:trPr>
          <w:trHeight w:val="685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Одиниця державного статистичного спостереження 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місцева одиниця (підприємство або його частина, розташована у географічно визначеному місці та залежна тільки від одного підприємства)</w:t>
            </w:r>
          </w:p>
        </w:tc>
      </w:tr>
      <w:tr w:rsidR="00952908" w:rsidRPr="00952908" w:rsidTr="00F35F8B">
        <w:trPr>
          <w:trHeight w:val="1191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Рівні та розрізи оприлюднення результатів </w:t>
            </w:r>
          </w:p>
        </w:tc>
        <w:tc>
          <w:tcPr>
            <w:tcW w:w="6013" w:type="dxa"/>
            <w:shd w:val="clear" w:color="auto" w:fill="auto"/>
            <w:hideMark/>
          </w:tcPr>
          <w:p w:rsidR="007E1E11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національний рівень (Україна в цілому);</w:t>
            </w:r>
          </w:p>
          <w:p w:rsidR="007E1E11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регіональний рівень (за регіонами України);</w:t>
            </w:r>
          </w:p>
          <w:p w:rsidR="007E1E11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види економічної діяльності (у розрізі секцій</w:t>
            </w:r>
            <w:r w:rsidR="00FA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розділів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80ED8" w:rsidRP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 </w:t>
            </w:r>
            <w:r w:rsid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</w:t>
            </w:r>
            <w:r w:rsidR="00B80ED8" w:rsidRP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аціональним класифікатором ДК 009:2010 "Класифікація видів економічної діяльності"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);</w:t>
            </w:r>
          </w:p>
          <w:p w:rsidR="00952908" w:rsidRPr="00952908" w:rsidRDefault="00952908" w:rsidP="00077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групи</w:t>
            </w:r>
            <w:r w:rsidR="0098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підприємств за їхнім розміром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26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  <w:r w:rsidR="0007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 w:rsidR="0026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49 працівників; 50–249 працівників; 250–499 працівників; </w:t>
            </w:r>
            <w:r w:rsidR="0007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500–999 працівників; 1000 працівників і більше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</w:tbl>
    <w:p w:rsidR="00077C95" w:rsidRDefault="00077C95" w:rsidP="00001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D5BB6" w:rsidRDefault="00DD5BB6" w:rsidP="00001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321FDE" w:rsidRDefault="00321FDE" w:rsidP="00001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D5BB6" w:rsidRDefault="00DD5BB6" w:rsidP="00001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1766E3" w:rsidRDefault="001766E3" w:rsidP="00001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Контакти для отримання додаткової 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>нформації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 xml:space="preserve"> щодо методологічного забезпечення та результатів </w:t>
      </w:r>
      <w:r w:rsidR="00DD5BB6" w:rsidRPr="00AE68E4">
        <w:rPr>
          <w:rFonts w:ascii="Times New Roman" w:hAnsi="Times New Roman" w:cs="Times New Roman"/>
          <w:color w:val="000000"/>
          <w:sz w:val="28"/>
          <w:szCs w:val="28"/>
        </w:rPr>
        <w:t>ОВРС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 xml:space="preserve"> такі:</w:t>
      </w:r>
    </w:p>
    <w:p w:rsidR="00976B2C" w:rsidRPr="00121E92" w:rsidRDefault="00976B2C" w:rsidP="00121E9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66"/>
      </w:tblGrid>
      <w:tr w:rsidR="00F35F8B" w:rsidRPr="00F35F8B" w:rsidTr="009B4CB2">
        <w:tc>
          <w:tcPr>
            <w:tcW w:w="298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35F8B" w:rsidRPr="00F35F8B" w:rsidRDefault="00100093" w:rsidP="00100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uk-UA"/>
              </w:rPr>
              <w:t>Департамент соціальної статистики</w:t>
            </w:r>
          </w:p>
        </w:tc>
      </w:tr>
      <w:tr w:rsidR="00F35F8B" w:rsidRPr="00F35F8B" w:rsidTr="009B4CB2">
        <w:tc>
          <w:tcPr>
            <w:tcW w:w="298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Телефони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Факс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Електронна пошта</w:t>
            </w:r>
          </w:p>
        </w:tc>
        <w:tc>
          <w:tcPr>
            <w:tcW w:w="686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  <w:r w:rsidR="00CB683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601, м.</w:t>
            </w:r>
            <w:r w:rsidR="00AE68E4" w:rsidRPr="007475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CB683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Київ, </w:t>
            </w: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Шота Руставелі, 3</w:t>
            </w:r>
          </w:p>
          <w:p w:rsidR="00F35F8B" w:rsidRPr="00A624A6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(044) 287-30-11, 2</w:t>
            </w:r>
            <w:r w:rsidRPr="00A62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62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0-</w:t>
            </w:r>
            <w:r w:rsidRPr="00A62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(044) </w:t>
            </w:r>
            <w:r w:rsidR="00CB6834" w:rsidRPr="00CB683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235-37-39</w:t>
            </w:r>
          </w:p>
          <w:p w:rsidR="00F35F8B" w:rsidRPr="00AE68E4" w:rsidRDefault="0075348F" w:rsidP="00CB6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hyperlink r:id="rId8" w:history="1">
              <w:r w:rsidR="00CB6834" w:rsidRPr="00AE68E4">
                <w:rPr>
                  <w:rStyle w:val="af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N</w:t>
              </w:r>
              <w:r w:rsidR="00CB6834" w:rsidRPr="00AE68E4">
                <w:rPr>
                  <w:rStyle w:val="af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r w:rsidR="00CB6834" w:rsidRPr="00AE68E4">
                <w:rPr>
                  <w:rStyle w:val="af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Denyso</w:t>
              </w:r>
              <w:r w:rsidR="00CB6834" w:rsidRPr="00AE68E4">
                <w:rPr>
                  <w:rStyle w:val="af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uk-UA"/>
                </w:rPr>
                <w:t>va@ukrstat.gov.ua</w:t>
              </w:r>
            </w:hyperlink>
          </w:p>
        </w:tc>
      </w:tr>
    </w:tbl>
    <w:p w:rsidR="00B30D78" w:rsidRPr="00D55D3E" w:rsidRDefault="00B30D78" w:rsidP="00F35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405E" w:rsidRDefault="0096405E" w:rsidP="0096405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Відповідність/Релевантність </w:t>
      </w:r>
    </w:p>
    <w:p w:rsidR="0096405E" w:rsidRDefault="0096405E" w:rsidP="0096405E">
      <w:pPr>
        <w:pStyle w:val="Default"/>
        <w:jc w:val="center"/>
        <w:rPr>
          <w:sz w:val="28"/>
          <w:szCs w:val="28"/>
        </w:rPr>
      </w:pPr>
    </w:p>
    <w:p w:rsidR="0096405E" w:rsidRPr="0096405E" w:rsidRDefault="0096405E" w:rsidP="002C779F">
      <w:pPr>
        <w:pStyle w:val="Default"/>
        <w:ind w:firstLine="567"/>
        <w:jc w:val="both"/>
        <w:rPr>
          <w:i/>
          <w:sz w:val="28"/>
          <w:szCs w:val="28"/>
        </w:rPr>
      </w:pPr>
      <w:r w:rsidRPr="0096405E">
        <w:rPr>
          <w:i/>
          <w:sz w:val="28"/>
          <w:szCs w:val="28"/>
        </w:rPr>
        <w:t>Відповідність/</w:t>
      </w:r>
      <w:proofErr w:type="spellStart"/>
      <w:r w:rsidR="00A22B90">
        <w:rPr>
          <w:i/>
          <w:sz w:val="28"/>
          <w:szCs w:val="28"/>
        </w:rPr>
        <w:t>Р</w:t>
      </w:r>
      <w:r w:rsidRPr="0096405E">
        <w:rPr>
          <w:i/>
          <w:sz w:val="28"/>
          <w:szCs w:val="28"/>
        </w:rPr>
        <w:t>елевантність</w:t>
      </w:r>
      <w:proofErr w:type="spellEnd"/>
      <w:r w:rsidRPr="0096405E">
        <w:rPr>
          <w:i/>
          <w:sz w:val="28"/>
          <w:szCs w:val="28"/>
        </w:rPr>
        <w:t xml:space="preserve"> </w:t>
      </w:r>
      <w:r w:rsidR="00AE68E4" w:rsidRPr="00AE68E4">
        <w:rPr>
          <w:i/>
          <w:sz w:val="28"/>
          <w:szCs w:val="28"/>
        </w:rPr>
        <w:t>показує ступінь задоволення поточних та потенційних потреб користувачів у статистичній інформації. Вона свідчить про те, чи вся необхідна статистична інформація, отримана під час проведення державного статистичного спостереження, представлена та якою мірою його методологія (зокрема в частині визначень, класифікацій, показників) відображає потреби користувачів.</w:t>
      </w:r>
    </w:p>
    <w:p w:rsidR="00AE68E4" w:rsidRDefault="00AE68E4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55D3E" w:rsidRDefault="00C926E1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Головною метою </w:t>
      </w:r>
      <w:r w:rsidR="00AE68E4" w:rsidRPr="00AE68E4">
        <w:rPr>
          <w:rFonts w:ascii="Times New Roman" w:hAnsi="Times New Roman" w:cs="Times New Roman"/>
          <w:color w:val="000000"/>
          <w:sz w:val="28"/>
          <w:szCs w:val="28"/>
        </w:rPr>
        <w:t>ОВРС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 xml:space="preserve">є отримання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надійної 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інформації </w:t>
      </w:r>
      <w:r w:rsidR="00A22B90" w:rsidRPr="00A22B90">
        <w:rPr>
          <w:rFonts w:ascii="Times New Roman" w:hAnsi="Times New Roman" w:cs="Times New Roman"/>
          <w:color w:val="000000"/>
          <w:sz w:val="28"/>
          <w:szCs w:val="28"/>
        </w:rPr>
        <w:t>про витрати підприємств, установ та організацій на утримання найманих працівників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Збір та обробка даних проводиться один раз на чотири роки.</w:t>
      </w:r>
    </w:p>
    <w:p w:rsidR="00E8434F" w:rsidRPr="00C926E1" w:rsidRDefault="00E8434F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Інформація, отримана в рамках </w:t>
      </w:r>
      <w:r w:rsidR="00A22B90" w:rsidRPr="00AE68E4">
        <w:rPr>
          <w:rFonts w:ascii="Times New Roman" w:hAnsi="Times New Roman" w:cs="Times New Roman"/>
          <w:color w:val="000000"/>
          <w:sz w:val="28"/>
          <w:szCs w:val="28"/>
        </w:rPr>
        <w:t>ОВРС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використовується для аналізу відповідних явищ. </w:t>
      </w:r>
      <w:r w:rsidRPr="00E8434F">
        <w:rPr>
          <w:rFonts w:ascii="Times New Roman" w:hAnsi="Times New Roman" w:cs="Times New Roman"/>
          <w:color w:val="000000"/>
          <w:sz w:val="28"/>
          <w:szCs w:val="28"/>
        </w:rPr>
        <w:t xml:space="preserve">За результатами спостережень розраховуються абсолютні та відносні </w:t>
      </w:r>
      <w:r w:rsidRPr="00A22B90">
        <w:rPr>
          <w:rFonts w:ascii="Times New Roman" w:hAnsi="Times New Roman" w:cs="Times New Roman"/>
          <w:color w:val="000000"/>
          <w:sz w:val="28"/>
          <w:szCs w:val="28"/>
        </w:rPr>
        <w:t>(у розрахунку на одного працівника)</w:t>
      </w:r>
      <w:r w:rsidRPr="00E8434F">
        <w:rPr>
          <w:rFonts w:ascii="Times New Roman" w:hAnsi="Times New Roman" w:cs="Times New Roman"/>
          <w:color w:val="000000"/>
          <w:sz w:val="28"/>
          <w:szCs w:val="28"/>
        </w:rPr>
        <w:t xml:space="preserve"> показники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Статистичну інформацію за результатами </w:t>
      </w:r>
      <w:r w:rsidR="00A22B90" w:rsidRPr="00AE68E4">
        <w:rPr>
          <w:sz w:val="28"/>
          <w:szCs w:val="28"/>
        </w:rPr>
        <w:t>ОВРС</w:t>
      </w:r>
      <w:r>
        <w:rPr>
          <w:sz w:val="28"/>
          <w:szCs w:val="28"/>
        </w:rPr>
        <w:t xml:space="preserve"> споживають внутрішні та зовнішні користувачі. </w:t>
      </w:r>
    </w:p>
    <w:p w:rsidR="000B6CCD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Внутрішніми користувачами є:</w:t>
      </w:r>
    </w:p>
    <w:p w:rsidR="008114A8" w:rsidRDefault="0050732A" w:rsidP="002C779F">
      <w:pPr>
        <w:pStyle w:val="Default"/>
        <w:ind w:firstLine="567"/>
        <w:jc w:val="both"/>
        <w:rPr>
          <w:sz w:val="28"/>
          <w:szCs w:val="28"/>
        </w:rPr>
      </w:pPr>
      <w:r w:rsidRPr="0050732A">
        <w:rPr>
          <w:sz w:val="28"/>
          <w:szCs w:val="28"/>
          <w:lang w:val="ru-RU"/>
        </w:rPr>
        <w:t xml:space="preserve">- </w:t>
      </w:r>
      <w:r w:rsidRPr="0050732A">
        <w:rPr>
          <w:sz w:val="28"/>
          <w:szCs w:val="28"/>
        </w:rPr>
        <w:t>структурні підрозділи, які займаються питаннями галузевої статистики</w:t>
      </w:r>
      <w:r>
        <w:rPr>
          <w:sz w:val="28"/>
          <w:szCs w:val="28"/>
        </w:rPr>
        <w:t>;</w:t>
      </w:r>
      <w:r w:rsidR="008114A8">
        <w:rPr>
          <w:sz w:val="28"/>
          <w:szCs w:val="28"/>
        </w:rPr>
        <w:t xml:space="preserve">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структурний підрозділ, який займається веденням реєстру статистичних одиниць.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Зовнішніми користувачами є: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 </w:t>
      </w:r>
      <w:r w:rsidR="00230431">
        <w:rPr>
          <w:sz w:val="28"/>
          <w:szCs w:val="28"/>
        </w:rPr>
        <w:t xml:space="preserve">державної </w:t>
      </w:r>
      <w:r>
        <w:rPr>
          <w:sz w:val="28"/>
          <w:szCs w:val="28"/>
        </w:rPr>
        <w:t xml:space="preserve">влади; </w:t>
      </w:r>
    </w:p>
    <w:p w:rsidR="00230431" w:rsidRDefault="00A22B90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наукові</w:t>
      </w:r>
      <w:r w:rsidR="0023043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організації</w:t>
      </w:r>
      <w:r w:rsidR="00230431">
        <w:rPr>
          <w:sz w:val="28"/>
          <w:szCs w:val="28"/>
        </w:rPr>
        <w:t xml:space="preserve">;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профспілки; </w:t>
      </w:r>
    </w:p>
    <w:p w:rsidR="00230431" w:rsidRDefault="00230431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міжнародні організації;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навчальні заклади; </w:t>
      </w:r>
    </w:p>
    <w:p w:rsidR="008114A8" w:rsidRDefault="00A22B90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бібліотеки.</w:t>
      </w:r>
    </w:p>
    <w:p w:rsidR="00DE26C2" w:rsidRDefault="00DE26C2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Ступінь відповідності результатів </w:t>
      </w:r>
      <w:r w:rsidR="00A22B90" w:rsidRPr="00AE68E4">
        <w:rPr>
          <w:sz w:val="28"/>
          <w:szCs w:val="28"/>
        </w:rPr>
        <w:t>ОВРС</w:t>
      </w:r>
      <w:r>
        <w:rPr>
          <w:sz w:val="28"/>
          <w:szCs w:val="28"/>
        </w:rPr>
        <w:t xml:space="preserve"> потребам користувачів оцінюється за змістом та кількістю запитів і пропозицій, обговорень під час проведення нарад і семінарів. Згідно з цими джерелами узагальнена й оприлюднена інформація відповідає </w:t>
      </w:r>
      <w:r w:rsidR="00A22B90">
        <w:rPr>
          <w:sz w:val="28"/>
          <w:szCs w:val="28"/>
        </w:rPr>
        <w:t>потребам основних користувачів.</w:t>
      </w:r>
    </w:p>
    <w:p w:rsidR="00A22B90" w:rsidRDefault="00A22B90" w:rsidP="002C779F">
      <w:pPr>
        <w:pStyle w:val="Default"/>
        <w:ind w:firstLine="567"/>
        <w:jc w:val="both"/>
        <w:rPr>
          <w:sz w:val="28"/>
          <w:szCs w:val="28"/>
        </w:rPr>
      </w:pPr>
    </w:p>
    <w:p w:rsidR="00A22B90" w:rsidRDefault="00A22B90" w:rsidP="002C779F">
      <w:pPr>
        <w:pStyle w:val="Default"/>
        <w:ind w:firstLine="567"/>
        <w:jc w:val="both"/>
        <w:rPr>
          <w:sz w:val="28"/>
          <w:szCs w:val="28"/>
        </w:rPr>
      </w:pPr>
    </w:p>
    <w:p w:rsidR="00A22B90" w:rsidRDefault="00A22B90" w:rsidP="002C779F">
      <w:pPr>
        <w:pStyle w:val="Default"/>
        <w:ind w:firstLine="567"/>
        <w:jc w:val="both"/>
        <w:rPr>
          <w:sz w:val="28"/>
          <w:szCs w:val="28"/>
        </w:rPr>
      </w:pPr>
    </w:p>
    <w:p w:rsidR="00A34720" w:rsidRDefault="009C39B6" w:rsidP="00AD40B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Точність/Надійність</w:t>
      </w:r>
    </w:p>
    <w:p w:rsidR="009C39B6" w:rsidRDefault="009C39B6" w:rsidP="002C779F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C39B6" w:rsidRDefault="009C39B6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Точність/Надійність </w:t>
      </w:r>
      <w:r w:rsidR="00321FDE" w:rsidRPr="00321FDE">
        <w:rPr>
          <w:i/>
          <w:iCs/>
          <w:sz w:val="28"/>
          <w:szCs w:val="28"/>
        </w:rPr>
        <w:t>статистичних результатів – це ступінь близькості оцінок показників до їх дійсних (точних) значень. При цьому оцінкою показника є розраховане значення показника для генеральної сукупності, отримане за результ</w:t>
      </w:r>
      <w:r w:rsidR="00321FDE">
        <w:rPr>
          <w:i/>
          <w:iCs/>
          <w:sz w:val="28"/>
          <w:szCs w:val="28"/>
        </w:rPr>
        <w:t>атами вибіркового спостереження</w:t>
      </w:r>
      <w:r>
        <w:rPr>
          <w:i/>
          <w:iCs/>
          <w:sz w:val="28"/>
          <w:szCs w:val="28"/>
        </w:rPr>
        <w:t xml:space="preserve">. </w:t>
      </w:r>
    </w:p>
    <w:p w:rsidR="00321FDE" w:rsidRDefault="00321FDE" w:rsidP="002C779F">
      <w:pPr>
        <w:pStyle w:val="Default"/>
        <w:ind w:firstLine="567"/>
        <w:jc w:val="both"/>
        <w:rPr>
          <w:sz w:val="28"/>
          <w:szCs w:val="28"/>
        </w:rPr>
      </w:pPr>
    </w:p>
    <w:p w:rsidR="00321FDE" w:rsidRDefault="00321FDE" w:rsidP="002C779F">
      <w:pPr>
        <w:pStyle w:val="Default"/>
        <w:ind w:firstLine="567"/>
        <w:jc w:val="both"/>
        <w:rPr>
          <w:sz w:val="28"/>
          <w:szCs w:val="28"/>
        </w:rPr>
      </w:pPr>
      <w:r w:rsidRPr="00321FDE">
        <w:rPr>
          <w:sz w:val="28"/>
          <w:szCs w:val="28"/>
        </w:rPr>
        <w:t xml:space="preserve">За результатами </w:t>
      </w:r>
      <w:r>
        <w:rPr>
          <w:sz w:val="28"/>
          <w:szCs w:val="28"/>
        </w:rPr>
        <w:t>ОВРС</w:t>
      </w:r>
      <w:r w:rsidRPr="00321FDE">
        <w:rPr>
          <w:sz w:val="28"/>
          <w:szCs w:val="28"/>
        </w:rPr>
        <w:t xml:space="preserve"> для показника "середньомісячні витрати підприємств на робочу силу в розрахунку на одного штатного працівника" розраховуються оцінки надійності: коефіцієнт варіації, гранична та стандартна похибки вибірки.</w:t>
      </w:r>
    </w:p>
    <w:p w:rsidR="009C39B6" w:rsidRDefault="009C39B6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характеристики надійності оцінок показників використовується набір </w:t>
      </w:r>
      <w:r w:rsidR="00773AED" w:rsidRPr="00773AED">
        <w:rPr>
          <w:sz w:val="28"/>
          <w:szCs w:val="28"/>
        </w:rPr>
        <w:t>категорій, наведений у таблиці 1</w:t>
      </w:r>
      <w:r w:rsidR="00773AED">
        <w:rPr>
          <w:sz w:val="28"/>
          <w:szCs w:val="28"/>
        </w:rPr>
        <w:t>.</w:t>
      </w:r>
    </w:p>
    <w:p w:rsidR="00195CFD" w:rsidRPr="00773AED" w:rsidRDefault="00195CFD" w:rsidP="009C39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F62A3" w:rsidRDefault="009C39B6" w:rsidP="009C39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C39B6">
        <w:rPr>
          <w:rFonts w:ascii="Times New Roman" w:hAnsi="Times New Roman" w:cs="Times New Roman"/>
          <w:color w:val="000000"/>
          <w:sz w:val="28"/>
          <w:szCs w:val="28"/>
        </w:rPr>
        <w:t xml:space="preserve">Таблиця 1 </w:t>
      </w:r>
    </w:p>
    <w:p w:rsidR="006F62A3" w:rsidRPr="00773AED" w:rsidRDefault="006F62A3" w:rsidP="006F6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56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2410"/>
        <w:gridCol w:w="5386"/>
      </w:tblGrid>
      <w:tr w:rsidR="006F62A3" w:rsidRPr="00152C9D" w:rsidTr="00152C9D">
        <w:trPr>
          <w:trHeight w:val="295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Категорія </w:t>
            </w:r>
          </w:p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надійності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Значення коефіцієнта варіації,</w:t>
            </w:r>
            <w:r w:rsidR="00152C9D"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%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Рівень надійності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більше 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високий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5,1 до 10,0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достатній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10,1 до 15,0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задовільний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15,1 до 25,0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низький (придатні лише для якісного аналізу)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більше 25,0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незадовільний (малопридатні для аналізу) </w:t>
            </w:r>
          </w:p>
        </w:tc>
      </w:tr>
    </w:tbl>
    <w:p w:rsidR="009C39B6" w:rsidRDefault="009C39B6" w:rsidP="009C39B6">
      <w:pPr>
        <w:pStyle w:val="Default"/>
        <w:ind w:firstLine="720"/>
        <w:jc w:val="both"/>
        <w:rPr>
          <w:sz w:val="28"/>
          <w:szCs w:val="28"/>
        </w:rPr>
      </w:pPr>
    </w:p>
    <w:p w:rsidR="00853AAA" w:rsidRDefault="00F47D79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Характеристики оцінок надійності </w:t>
      </w:r>
      <w:r w:rsidR="00773AED" w:rsidRPr="00321FDE">
        <w:rPr>
          <w:sz w:val="28"/>
          <w:szCs w:val="28"/>
        </w:rPr>
        <w:t xml:space="preserve">показника "середньомісячні витрати підприємств на робочу силу в розрахунку на одного штатного працівника" </w:t>
      </w:r>
      <w:r>
        <w:rPr>
          <w:sz w:val="28"/>
          <w:szCs w:val="28"/>
        </w:rPr>
        <w:t>у цілому</w:t>
      </w:r>
      <w:r w:rsidR="00773AED">
        <w:rPr>
          <w:sz w:val="28"/>
          <w:szCs w:val="28"/>
        </w:rPr>
        <w:t xml:space="preserve"> по Україні</w:t>
      </w:r>
      <w:r w:rsidR="00853AAA">
        <w:rPr>
          <w:sz w:val="28"/>
          <w:szCs w:val="28"/>
        </w:rPr>
        <w:t xml:space="preserve">, </w:t>
      </w:r>
      <w:r w:rsidR="00773AED" w:rsidRPr="00773AED">
        <w:rPr>
          <w:sz w:val="28"/>
          <w:szCs w:val="28"/>
        </w:rPr>
        <w:t>за видами економічної діяльності, регіонами та групами підприємств за їхнім розміром</w:t>
      </w:r>
      <w:r w:rsidR="00853AAA">
        <w:rPr>
          <w:sz w:val="28"/>
          <w:szCs w:val="28"/>
        </w:rPr>
        <w:t xml:space="preserve"> наведені у табл</w:t>
      </w:r>
      <w:r w:rsidR="00152C9D">
        <w:rPr>
          <w:sz w:val="28"/>
          <w:szCs w:val="28"/>
        </w:rPr>
        <w:t>ицях</w:t>
      </w:r>
      <w:r w:rsidR="00853AAA">
        <w:rPr>
          <w:sz w:val="28"/>
          <w:szCs w:val="28"/>
        </w:rPr>
        <w:t xml:space="preserve"> </w:t>
      </w:r>
      <w:r w:rsidR="00853AAA" w:rsidRPr="00923E88">
        <w:rPr>
          <w:sz w:val="28"/>
          <w:szCs w:val="28"/>
        </w:rPr>
        <w:t>2</w:t>
      </w:r>
      <w:r w:rsidR="00152C9D" w:rsidRPr="00923E88">
        <w:rPr>
          <w:sz w:val="28"/>
          <w:szCs w:val="28"/>
        </w:rPr>
        <w:t>–</w:t>
      </w:r>
      <w:r w:rsidR="00853AAA" w:rsidRPr="00923E88">
        <w:rPr>
          <w:sz w:val="28"/>
          <w:szCs w:val="28"/>
        </w:rPr>
        <w:t>4</w:t>
      </w:r>
      <w:r w:rsidR="00853AAA">
        <w:rPr>
          <w:sz w:val="28"/>
          <w:szCs w:val="28"/>
        </w:rPr>
        <w:t xml:space="preserve"> </w:t>
      </w:r>
      <w:r w:rsidR="00E41628">
        <w:rPr>
          <w:sz w:val="28"/>
          <w:szCs w:val="28"/>
        </w:rPr>
        <w:t>ць</w:t>
      </w:r>
      <w:r w:rsidR="00853AAA">
        <w:rPr>
          <w:sz w:val="28"/>
          <w:szCs w:val="28"/>
        </w:rPr>
        <w:t>ого звіту.</w:t>
      </w:r>
    </w:p>
    <w:p w:rsidR="00923E88" w:rsidRDefault="000C66F7" w:rsidP="002C779F">
      <w:pPr>
        <w:pStyle w:val="Default"/>
        <w:ind w:firstLine="567"/>
        <w:jc w:val="both"/>
        <w:rPr>
          <w:sz w:val="28"/>
          <w:szCs w:val="28"/>
        </w:rPr>
      </w:pPr>
      <w:r w:rsidRPr="00BA4C67">
        <w:rPr>
          <w:sz w:val="28"/>
          <w:szCs w:val="28"/>
        </w:rPr>
        <w:t>Наведені дані свідчать, що отримані оцінки є</w:t>
      </w:r>
      <w:r w:rsidRPr="000C66F7">
        <w:rPr>
          <w:sz w:val="28"/>
          <w:szCs w:val="28"/>
        </w:rPr>
        <w:t xml:space="preserve"> достатньо надійними для національного рівня. Так</w:t>
      </w:r>
      <w:r w:rsidR="00E41628">
        <w:rPr>
          <w:sz w:val="28"/>
          <w:szCs w:val="28"/>
        </w:rPr>
        <w:t>,</w:t>
      </w:r>
      <w:r w:rsidRPr="000C66F7">
        <w:rPr>
          <w:sz w:val="28"/>
          <w:szCs w:val="28"/>
        </w:rPr>
        <w:t xml:space="preserve"> коефіцієнт варіації для оцінки </w:t>
      </w:r>
      <w:r w:rsidR="00C958E4" w:rsidRPr="00321FDE">
        <w:rPr>
          <w:sz w:val="28"/>
          <w:szCs w:val="28"/>
        </w:rPr>
        <w:t>середньомісячн</w:t>
      </w:r>
      <w:r w:rsidR="00C958E4">
        <w:rPr>
          <w:sz w:val="28"/>
          <w:szCs w:val="28"/>
        </w:rPr>
        <w:t>их</w:t>
      </w:r>
      <w:r w:rsidR="00C958E4" w:rsidRPr="00321FDE">
        <w:rPr>
          <w:sz w:val="28"/>
          <w:szCs w:val="28"/>
        </w:rPr>
        <w:t xml:space="preserve"> витрат підприємств на робочу силу в розрахунку на одного штатного працівника</w:t>
      </w:r>
      <w:r w:rsidRPr="000C66F7">
        <w:rPr>
          <w:sz w:val="28"/>
          <w:szCs w:val="28"/>
        </w:rPr>
        <w:t xml:space="preserve"> для рівня України </w:t>
      </w:r>
      <w:r w:rsidR="007926E1">
        <w:rPr>
          <w:sz w:val="28"/>
          <w:szCs w:val="28"/>
        </w:rPr>
        <w:t>має високу точність (рівень надійності категорії "А"), тобто є</w:t>
      </w:r>
      <w:r w:rsidR="00E010FB">
        <w:rPr>
          <w:sz w:val="28"/>
          <w:szCs w:val="28"/>
        </w:rPr>
        <w:t xml:space="preserve"> суттєво</w:t>
      </w:r>
      <w:r w:rsidR="007926E1">
        <w:rPr>
          <w:sz w:val="28"/>
          <w:szCs w:val="28"/>
        </w:rPr>
        <w:t xml:space="preserve"> нижчим за 5% (</w:t>
      </w:r>
      <w:r w:rsidR="00BA4C67">
        <w:rPr>
          <w:sz w:val="28"/>
          <w:szCs w:val="28"/>
        </w:rPr>
        <w:t>0,</w:t>
      </w:r>
      <w:r w:rsidR="00C958E4">
        <w:rPr>
          <w:sz w:val="28"/>
          <w:szCs w:val="28"/>
        </w:rPr>
        <w:t>3</w:t>
      </w:r>
      <w:r w:rsidRPr="000C66F7">
        <w:rPr>
          <w:sz w:val="28"/>
          <w:szCs w:val="28"/>
        </w:rPr>
        <w:t>%</w:t>
      </w:r>
      <w:r w:rsidR="007926E1">
        <w:rPr>
          <w:sz w:val="28"/>
          <w:szCs w:val="28"/>
        </w:rPr>
        <w:t>)</w:t>
      </w:r>
      <w:r w:rsidRPr="000C66F7">
        <w:rPr>
          <w:sz w:val="28"/>
          <w:szCs w:val="28"/>
        </w:rPr>
        <w:t xml:space="preserve">. </w:t>
      </w:r>
      <w:r w:rsidR="00BA4C67">
        <w:rPr>
          <w:sz w:val="28"/>
          <w:szCs w:val="28"/>
        </w:rPr>
        <w:t>Д</w:t>
      </w:r>
      <w:r w:rsidRPr="000C66F7">
        <w:rPr>
          <w:sz w:val="28"/>
          <w:szCs w:val="28"/>
        </w:rPr>
        <w:t xml:space="preserve">ля оцінок </w:t>
      </w:r>
      <w:r w:rsidR="00C958E4">
        <w:rPr>
          <w:sz w:val="28"/>
          <w:szCs w:val="28"/>
        </w:rPr>
        <w:t>цього показника</w:t>
      </w:r>
      <w:r w:rsidRPr="000C66F7">
        <w:rPr>
          <w:sz w:val="28"/>
          <w:szCs w:val="28"/>
        </w:rPr>
        <w:t xml:space="preserve"> </w:t>
      </w:r>
      <w:r w:rsidR="00C958E4" w:rsidRPr="00773AED">
        <w:rPr>
          <w:sz w:val="28"/>
          <w:szCs w:val="28"/>
        </w:rPr>
        <w:t>за видами економічної діяльності, регіонами та групами підприємств за їхнім розміром</w:t>
      </w:r>
      <w:r w:rsidRPr="000C66F7">
        <w:rPr>
          <w:sz w:val="28"/>
          <w:szCs w:val="28"/>
        </w:rPr>
        <w:t xml:space="preserve"> коефіцієнти варіації не перевищують 5%.</w:t>
      </w:r>
    </w:p>
    <w:p w:rsidR="00C072A8" w:rsidRDefault="000C66F7" w:rsidP="002C779F">
      <w:pPr>
        <w:pStyle w:val="Default"/>
        <w:ind w:firstLine="567"/>
        <w:jc w:val="both"/>
        <w:rPr>
          <w:sz w:val="28"/>
          <w:szCs w:val="28"/>
        </w:rPr>
      </w:pPr>
      <w:r w:rsidRPr="000C66F7">
        <w:rPr>
          <w:sz w:val="28"/>
          <w:szCs w:val="28"/>
        </w:rPr>
        <w:t xml:space="preserve">Величина граничної похибки вибірки для оцінки </w:t>
      </w:r>
      <w:r w:rsidR="0033350B" w:rsidRPr="00321FDE">
        <w:rPr>
          <w:sz w:val="28"/>
          <w:szCs w:val="28"/>
        </w:rPr>
        <w:t>середньомісячн</w:t>
      </w:r>
      <w:r w:rsidR="0033350B">
        <w:rPr>
          <w:sz w:val="28"/>
          <w:szCs w:val="28"/>
        </w:rPr>
        <w:t>их</w:t>
      </w:r>
      <w:r w:rsidR="0033350B" w:rsidRPr="00321FDE">
        <w:rPr>
          <w:sz w:val="28"/>
          <w:szCs w:val="28"/>
        </w:rPr>
        <w:t xml:space="preserve"> витрат підприємств на робочу силу в розрахунку на одного штатного працівника</w:t>
      </w:r>
      <w:r w:rsidRPr="000C66F7">
        <w:rPr>
          <w:sz w:val="28"/>
          <w:szCs w:val="28"/>
        </w:rPr>
        <w:t xml:space="preserve"> для </w:t>
      </w:r>
      <w:r w:rsidR="004B66A9">
        <w:rPr>
          <w:sz w:val="28"/>
          <w:szCs w:val="28"/>
        </w:rPr>
        <w:t xml:space="preserve">рівня України становить </w:t>
      </w:r>
      <w:r w:rsidR="0033350B">
        <w:rPr>
          <w:sz w:val="28"/>
          <w:szCs w:val="28"/>
        </w:rPr>
        <w:t>60</w:t>
      </w:r>
      <w:r w:rsidR="004B66A9">
        <w:rPr>
          <w:sz w:val="28"/>
          <w:szCs w:val="28"/>
        </w:rPr>
        <w:t xml:space="preserve"> грн.</w:t>
      </w:r>
      <w:r w:rsidRPr="000C66F7">
        <w:rPr>
          <w:sz w:val="28"/>
          <w:szCs w:val="28"/>
        </w:rPr>
        <w:t xml:space="preserve"> Це означає, що з імовірністю 95</w:t>
      </w:r>
      <w:r w:rsidR="00E010FB">
        <w:rPr>
          <w:sz w:val="28"/>
          <w:szCs w:val="28"/>
        </w:rPr>
        <w:t>%</w:t>
      </w:r>
      <w:r w:rsidRPr="000C66F7">
        <w:rPr>
          <w:sz w:val="28"/>
          <w:szCs w:val="28"/>
        </w:rPr>
        <w:t xml:space="preserve"> величина </w:t>
      </w:r>
      <w:r w:rsidR="0033350B">
        <w:rPr>
          <w:sz w:val="28"/>
          <w:szCs w:val="28"/>
        </w:rPr>
        <w:t>цього показника</w:t>
      </w:r>
      <w:r w:rsidRPr="000C66F7">
        <w:rPr>
          <w:sz w:val="28"/>
          <w:szCs w:val="28"/>
        </w:rPr>
        <w:t xml:space="preserve"> знаходиться у межах </w:t>
      </w:r>
      <w:r w:rsidR="0033350B" w:rsidRPr="0033350B">
        <w:rPr>
          <w:sz w:val="28"/>
          <w:szCs w:val="28"/>
        </w:rPr>
        <w:t>11268</w:t>
      </w:r>
      <w:r w:rsidRPr="000C66F7">
        <w:rPr>
          <w:sz w:val="28"/>
          <w:szCs w:val="28"/>
        </w:rPr>
        <w:t xml:space="preserve"> грн ±</w:t>
      </w:r>
      <w:r w:rsidR="00BA4C67">
        <w:rPr>
          <w:sz w:val="28"/>
          <w:szCs w:val="28"/>
        </w:rPr>
        <w:t xml:space="preserve"> 6</w:t>
      </w:r>
      <w:r w:rsidR="0033350B">
        <w:rPr>
          <w:sz w:val="28"/>
          <w:szCs w:val="28"/>
        </w:rPr>
        <w:t>0</w:t>
      </w:r>
      <w:r w:rsidRPr="000C66F7">
        <w:rPr>
          <w:sz w:val="28"/>
          <w:szCs w:val="28"/>
        </w:rPr>
        <w:t xml:space="preserve"> грн, тобто в інтервалі </w:t>
      </w:r>
      <w:r w:rsidR="0033350B">
        <w:rPr>
          <w:sz w:val="28"/>
          <w:szCs w:val="28"/>
        </w:rPr>
        <w:t>11208</w:t>
      </w:r>
      <w:r w:rsidRPr="000C66F7">
        <w:rPr>
          <w:sz w:val="28"/>
          <w:szCs w:val="28"/>
        </w:rPr>
        <w:t>–</w:t>
      </w:r>
      <w:r w:rsidR="00F73386">
        <w:rPr>
          <w:sz w:val="28"/>
          <w:szCs w:val="28"/>
        </w:rPr>
        <w:t>11328</w:t>
      </w:r>
      <w:r w:rsidRPr="000C66F7">
        <w:rPr>
          <w:sz w:val="28"/>
          <w:szCs w:val="28"/>
        </w:rPr>
        <w:t xml:space="preserve"> грн.</w:t>
      </w:r>
    </w:p>
    <w:p w:rsidR="00195CFD" w:rsidRDefault="00195CFD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23E88" w:rsidRDefault="00923E88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23E88" w:rsidRDefault="00923E88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56A5A" w:rsidRPr="00156A5A" w:rsidRDefault="00156A5A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Таблиця 2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3397" w:rsidRPr="00A53397" w:rsidRDefault="00A53397" w:rsidP="00A5339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Оцінки надійності показника "Середньомісячні витрати підприємств</w:t>
      </w:r>
    </w:p>
    <w:p w:rsidR="00A53397" w:rsidRPr="00A53397" w:rsidRDefault="00A53397" w:rsidP="00A5339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робочу силу в розрахунку на одного штатного працівника"</w:t>
      </w:r>
    </w:p>
    <w:p w:rsidR="00A53397" w:rsidRPr="00A53397" w:rsidRDefault="00A53397" w:rsidP="00A5339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видами економічної діяльності</w:t>
      </w:r>
    </w:p>
    <w:p w:rsidR="00C86179" w:rsidRPr="00B2412B" w:rsidRDefault="00C86179" w:rsidP="00D167E1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A53397" w:rsidRPr="00A53397" w:rsidRDefault="00A53397" w:rsidP="00A53397">
      <w:pPr>
        <w:spacing w:after="0" w:line="240" w:lineRule="auto"/>
        <w:ind w:right="-58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397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(грн)</w:t>
      </w:r>
    </w:p>
    <w:tbl>
      <w:tblPr>
        <w:tblW w:w="9563" w:type="dxa"/>
        <w:tblLook w:val="04A0" w:firstRow="1" w:lastRow="0" w:firstColumn="1" w:lastColumn="0" w:noHBand="0" w:noVBand="1"/>
      </w:tblPr>
      <w:tblGrid>
        <w:gridCol w:w="3547"/>
        <w:gridCol w:w="1088"/>
        <w:gridCol w:w="1182"/>
        <w:gridCol w:w="1306"/>
        <w:gridCol w:w="1224"/>
        <w:gridCol w:w="1262"/>
      </w:tblGrid>
      <w:tr w:rsidR="00A53397" w:rsidRPr="00A53397" w:rsidTr="00617656">
        <w:trPr>
          <w:trHeight w:val="1275"/>
        </w:trPr>
        <w:tc>
          <w:tcPr>
            <w:tcW w:w="3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Код за КВЕД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Середньо-місячні витрати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Стандартна похибка вибірки (SE)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Гранична похибка вибірки (LSE)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Коефіцієнт варіації (CV), %</w:t>
            </w:r>
          </w:p>
        </w:tc>
      </w:tr>
      <w:tr w:rsidR="00A53397" w:rsidRPr="00A53397" w:rsidTr="00617656">
        <w:trPr>
          <w:trHeight w:val="315"/>
        </w:trPr>
        <w:tc>
          <w:tcPr>
            <w:tcW w:w="3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53397" w:rsidRPr="00A53397" w:rsidTr="00617656">
        <w:trPr>
          <w:trHeight w:val="31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 CYR" w:eastAsia="Times New Roman" w:hAnsi="Times New Roman CYR" w:cs="Times New Roman CYR"/>
                <w:b/>
                <w:bCs/>
                <w:sz w:val="22"/>
                <w:szCs w:val="22"/>
                <w:lang w:eastAsia="uk-UA"/>
              </w:rPr>
            </w:pPr>
            <w:r w:rsidRPr="00A53397">
              <w:rPr>
                <w:rFonts w:ascii="Times New Roman CYR" w:eastAsia="Times New Roman" w:hAnsi="Times New Roman CYR" w:cs="Times New Roman CYR"/>
                <w:b/>
                <w:bCs/>
                <w:sz w:val="22"/>
                <w:szCs w:val="22"/>
                <w:lang w:eastAsia="uk-UA"/>
              </w:rPr>
              <w:t xml:space="preserve">Усього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 CYR" w:eastAsia="Times New Roman" w:hAnsi="Times New Roman CYR" w:cs="Times New Roman CYR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11268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30,81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60,38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0,3</w:t>
            </w:r>
          </w:p>
        </w:tc>
      </w:tr>
      <w:tr w:rsidR="00A53397" w:rsidRPr="00A53397" w:rsidTr="00617656">
        <w:trPr>
          <w:trHeight w:val="61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 CYR" w:eastAsia="Times New Roman" w:hAnsi="Times New Roman CYR" w:cs="Times New Roman CYR"/>
                <w:sz w:val="22"/>
                <w:szCs w:val="22"/>
                <w:lang w:eastAsia="uk-UA"/>
              </w:rPr>
            </w:pPr>
            <w:r w:rsidRPr="00A53397">
              <w:rPr>
                <w:rFonts w:ascii="Times New Roman CYR" w:eastAsia="Times New Roman" w:hAnsi="Times New Roman CYR" w:cs="Times New Roman CYR"/>
                <w:sz w:val="22"/>
                <w:szCs w:val="22"/>
                <w:lang w:eastAsia="uk-UA"/>
              </w:rPr>
              <w:t xml:space="preserve">Сільське господарство, лісове господарство та рибне господарство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53397">
              <w:rPr>
                <w:rFonts w:ascii="Times New Roman CYR" w:eastAsia="Times New Roman" w:hAnsi="Times New Roman CYR" w:cs="Times New Roman CYR"/>
                <w:lang w:eastAsia="uk-UA"/>
              </w:rPr>
              <w:t>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9436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141,84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278,01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1,5</w:t>
            </w:r>
          </w:p>
        </w:tc>
      </w:tr>
      <w:tr w:rsidR="00A53397" w:rsidRPr="00A53397" w:rsidTr="00617656">
        <w:trPr>
          <w:trHeight w:val="342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lang w:eastAsia="uk-UA"/>
              </w:rPr>
              <w:t>B+C+D+E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12697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58,18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114,03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0,5</w:t>
            </w:r>
          </w:p>
        </w:tc>
      </w:tr>
      <w:tr w:rsidR="00A53397" w:rsidRPr="00A53397" w:rsidTr="00617656">
        <w:trPr>
          <w:trHeight w:val="61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B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17151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96,68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189,50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0,6</w:t>
            </w:r>
          </w:p>
        </w:tc>
      </w:tr>
      <w:tr w:rsidR="00A53397" w:rsidRPr="00A53397" w:rsidTr="00617656">
        <w:trPr>
          <w:trHeight w:val="342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Переробна промисловість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C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12099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72,92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142,92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0,6</w:t>
            </w:r>
          </w:p>
        </w:tc>
      </w:tr>
      <w:tr w:rsidR="00A53397" w:rsidRPr="00A53397" w:rsidTr="00617656">
        <w:trPr>
          <w:trHeight w:val="61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10-12 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10796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154,13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302,10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1,4</w:t>
            </w:r>
          </w:p>
        </w:tc>
      </w:tr>
      <w:tr w:rsidR="00A53397" w:rsidRPr="00A53397" w:rsidTr="00617656">
        <w:trPr>
          <w:trHeight w:val="88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13-15 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8045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196,84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385,80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2,4</w:t>
            </w:r>
          </w:p>
        </w:tc>
      </w:tr>
      <w:tr w:rsidR="00A53397" w:rsidRPr="00A53397" w:rsidTr="00617656">
        <w:trPr>
          <w:trHeight w:val="703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виготовлення виробів з деревини, виробництво паперу та поліграфічна діяльність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16-18 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9997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301,16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590,26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3,0</w:t>
            </w:r>
          </w:p>
        </w:tc>
      </w:tr>
      <w:tr w:rsidR="00A53397" w:rsidRPr="00A53397" w:rsidTr="00617656">
        <w:trPr>
          <w:trHeight w:val="501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коксу та продуктів </w:t>
            </w:r>
            <w:proofErr w:type="spellStart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нафтоперероблення</w:t>
            </w:r>
            <w:proofErr w:type="spellEnd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17226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169,26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331,75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1,0</w:t>
            </w:r>
          </w:p>
        </w:tc>
      </w:tr>
      <w:tr w:rsidR="00A53397" w:rsidRPr="00A53397" w:rsidTr="00617656">
        <w:trPr>
          <w:trHeight w:val="423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11981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297,55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583,20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2,5</w:t>
            </w:r>
          </w:p>
        </w:tc>
      </w:tr>
      <w:tr w:rsidR="00A53397" w:rsidRPr="00A53397" w:rsidTr="00617656">
        <w:trPr>
          <w:trHeight w:val="714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20756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1010,28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1980,15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4,9</w:t>
            </w:r>
          </w:p>
        </w:tc>
      </w:tr>
      <w:tr w:rsidR="00A53397" w:rsidRPr="00A53397" w:rsidTr="00617656">
        <w:trPr>
          <w:trHeight w:val="85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гумових і пластмасових виробів; іншої неметалевої мінеральної продукції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22, 23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12118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290,93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570,22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2,4</w:t>
            </w:r>
          </w:p>
        </w:tc>
      </w:tr>
      <w:tr w:rsidR="00A53397" w:rsidRPr="00A53397" w:rsidTr="00617656">
        <w:trPr>
          <w:trHeight w:val="88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металургійне виробництво, виробництво готових металевих  виробів, крім машин і </w:t>
            </w:r>
            <w:proofErr w:type="spellStart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устатковання</w:t>
            </w:r>
            <w:proofErr w:type="spellEnd"/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24, 25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15120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225,97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442,90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1,5</w:t>
            </w:r>
          </w:p>
        </w:tc>
      </w:tr>
      <w:tr w:rsidR="00A53397" w:rsidRPr="00A53397" w:rsidTr="00617656">
        <w:trPr>
          <w:trHeight w:val="58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комп'ютерів, електронної та оптичної продукції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26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14084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704,78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1381,38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5,0</w:t>
            </w:r>
          </w:p>
        </w:tc>
      </w:tr>
      <w:tr w:rsidR="00A53397" w:rsidRPr="00A53397" w:rsidTr="00617656">
        <w:trPr>
          <w:trHeight w:val="495"/>
        </w:trPr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електричного </w:t>
            </w:r>
            <w:proofErr w:type="spellStart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устатковання</w:t>
            </w:r>
            <w:proofErr w:type="spellEnd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11988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521,69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1022,51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4,4</w:t>
            </w:r>
          </w:p>
        </w:tc>
      </w:tr>
    </w:tbl>
    <w:p w:rsidR="00A53397" w:rsidRPr="00A53397" w:rsidRDefault="00A53397" w:rsidP="00A533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397" w:rsidRDefault="00A53397" w:rsidP="00D167E1">
      <w:pPr>
        <w:spacing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B51049" w:rsidRPr="00A53397" w:rsidRDefault="00A53397" w:rsidP="00A53397">
      <w:pPr>
        <w:spacing w:after="0"/>
        <w:ind w:firstLine="7230"/>
        <w:jc w:val="left"/>
        <w:rPr>
          <w:rFonts w:ascii="Times New Roman" w:hAnsi="Times New Roman" w:cs="Times New Roman"/>
          <w:sz w:val="22"/>
          <w:szCs w:val="22"/>
        </w:rPr>
      </w:pPr>
      <w:r w:rsidRPr="00A53397">
        <w:rPr>
          <w:rFonts w:ascii="Times New Roman" w:hAnsi="Times New Roman" w:cs="Times New Roman"/>
          <w:sz w:val="22"/>
          <w:szCs w:val="22"/>
        </w:rPr>
        <w:t>Продовження таблиці 2</w:t>
      </w:r>
    </w:p>
    <w:tbl>
      <w:tblPr>
        <w:tblW w:w="9568" w:type="dxa"/>
        <w:tblLook w:val="04A0" w:firstRow="1" w:lastRow="0" w:firstColumn="1" w:lastColumn="0" w:noHBand="0" w:noVBand="1"/>
      </w:tblPr>
      <w:tblGrid>
        <w:gridCol w:w="3600"/>
        <w:gridCol w:w="880"/>
        <w:gridCol w:w="1260"/>
        <w:gridCol w:w="1306"/>
        <w:gridCol w:w="1260"/>
        <w:gridCol w:w="1262"/>
      </w:tblGrid>
      <w:tr w:rsidR="00A53397" w:rsidRPr="00A53397" w:rsidTr="00617656">
        <w:trPr>
          <w:trHeight w:val="1230"/>
        </w:trPr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Код за КВЕД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Середньо-місячні витрати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Стандартна похибка вибірки (SE)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Гранична похибка вибірки (LSE)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Коефіцієнт варіації (CV), %</w:t>
            </w:r>
          </w:p>
        </w:tc>
      </w:tr>
      <w:tr w:rsidR="00A53397" w:rsidRPr="00A53397" w:rsidTr="00617656">
        <w:trPr>
          <w:trHeight w:val="315"/>
        </w:trPr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53397" w:rsidRPr="00A53397" w:rsidTr="00617656">
        <w:trPr>
          <w:trHeight w:val="615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машин і </w:t>
            </w:r>
            <w:proofErr w:type="spellStart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устатковання</w:t>
            </w:r>
            <w:proofErr w:type="spellEnd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, не віднесених до інших угруповань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11110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162,83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319,15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1,5</w:t>
            </w:r>
          </w:p>
        </w:tc>
      </w:tr>
      <w:tr w:rsidR="00A53397" w:rsidRPr="00A53397" w:rsidTr="00617656">
        <w:trPr>
          <w:trHeight w:val="791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29, 30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13238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119,63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234,47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0,9</w:t>
            </w:r>
          </w:p>
        </w:tc>
      </w:tr>
      <w:tr w:rsidR="00A53397" w:rsidRPr="00A53397" w:rsidTr="00617656">
        <w:trPr>
          <w:trHeight w:val="703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ind w:left="176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устатковання</w:t>
            </w:r>
            <w:proofErr w:type="spellEnd"/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31-33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11349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243,35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476,96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2,1</w:t>
            </w:r>
          </w:p>
        </w:tc>
      </w:tr>
      <w:tr w:rsidR="00A53397" w:rsidRPr="00A53397" w:rsidTr="00617656">
        <w:trPr>
          <w:trHeight w:val="515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Постачання електроенергії, газу, пари та кондиційованого повітря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13940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166,40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326,15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1,2</w:t>
            </w:r>
          </w:p>
        </w:tc>
      </w:tr>
      <w:tr w:rsidR="00A53397" w:rsidRPr="00A53397" w:rsidTr="00617656">
        <w:trPr>
          <w:trHeight w:val="481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E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8357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135,49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265,55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1,6</w:t>
            </w:r>
          </w:p>
        </w:tc>
      </w:tr>
      <w:tr w:rsidR="00A53397" w:rsidRPr="00A53397" w:rsidTr="00617656">
        <w:trPr>
          <w:trHeight w:val="305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Будівництво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F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10380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193,55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379,36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1,9</w:t>
            </w:r>
          </w:p>
        </w:tc>
      </w:tr>
      <w:tr w:rsidR="00A53397" w:rsidRPr="00A53397" w:rsidTr="00617656">
        <w:trPr>
          <w:trHeight w:val="721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Оптова та роздрібна торгівля; ремонт автотранспортних засобів і мотоциклів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11337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121,57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238,28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1,1</w:t>
            </w:r>
          </w:p>
        </w:tc>
      </w:tr>
      <w:tr w:rsidR="00A53397" w:rsidRPr="00A53397" w:rsidTr="00617656">
        <w:trPr>
          <w:trHeight w:val="585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Транспорт, складське господарство, поштова та кур'єрська діяльність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13752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135,47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265,52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1,0</w:t>
            </w:r>
          </w:p>
        </w:tc>
      </w:tr>
      <w:tr w:rsidR="00A53397" w:rsidRPr="00A53397" w:rsidTr="00617656">
        <w:trPr>
          <w:trHeight w:val="489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Тимчасове розміщування й організація харчування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I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7234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212,33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416,16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2,9</w:t>
            </w:r>
          </w:p>
        </w:tc>
      </w:tr>
      <w:tr w:rsidR="00A53397" w:rsidRPr="00A53397" w:rsidTr="00617656">
        <w:trPr>
          <w:trHeight w:val="342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Інформація та телекомунікації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J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18111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489,41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959,24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2,7</w:t>
            </w:r>
          </w:p>
        </w:tc>
      </w:tr>
      <w:tr w:rsidR="00A53397" w:rsidRPr="00A53397" w:rsidTr="00617656">
        <w:trPr>
          <w:trHeight w:val="342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Фінансова та страхова діяльність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K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15479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222,64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436,37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1,4</w:t>
            </w:r>
          </w:p>
        </w:tc>
      </w:tr>
      <w:tr w:rsidR="00A53397" w:rsidRPr="00A53397" w:rsidTr="00617656">
        <w:trPr>
          <w:trHeight w:val="323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Операції з нерухомим майном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L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8920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281,71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552,16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3,2</w:t>
            </w:r>
          </w:p>
        </w:tc>
      </w:tr>
      <w:tr w:rsidR="00A53397" w:rsidRPr="00A53397" w:rsidTr="00617656">
        <w:trPr>
          <w:trHeight w:val="540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Професійна, наукова та технічна діяльність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16025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285,24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559,06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1,8</w:t>
            </w:r>
          </w:p>
        </w:tc>
      </w:tr>
      <w:tr w:rsidR="00A53397" w:rsidRPr="00A53397" w:rsidTr="00617656">
        <w:trPr>
          <w:trHeight w:val="630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Діяльність у сфері адміністративного та допоміжного обслуговування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N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8966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134,32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263,26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1,5</w:t>
            </w:r>
          </w:p>
        </w:tc>
      </w:tr>
      <w:tr w:rsidR="00A53397" w:rsidRPr="00A53397" w:rsidTr="00617656">
        <w:trPr>
          <w:trHeight w:val="501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Державне управління й оборона; обов'язкове соціальне страхування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O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15346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144,13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282,49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0,9</w:t>
            </w:r>
          </w:p>
        </w:tc>
      </w:tr>
      <w:tr w:rsidR="00A53397" w:rsidRPr="00A53397" w:rsidTr="00617656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Освіта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P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8811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33,01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64,70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0,4</w:t>
            </w:r>
          </w:p>
        </w:tc>
      </w:tr>
      <w:tr w:rsidR="00A53397" w:rsidRPr="00A53397" w:rsidTr="00617656">
        <w:trPr>
          <w:trHeight w:val="413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Охорона здоров'я та надання соціальної допомоги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Q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7299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46,85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91,83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0,6</w:t>
            </w:r>
          </w:p>
        </w:tc>
      </w:tr>
      <w:tr w:rsidR="00A53397" w:rsidRPr="00A53397" w:rsidTr="00617656">
        <w:trPr>
          <w:trHeight w:val="421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 xml:space="preserve">Мистецтво, спорт, розваги та відпочинок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R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9567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213,93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419,30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2,2</w:t>
            </w:r>
          </w:p>
        </w:tc>
      </w:tr>
      <w:tr w:rsidR="00A53397" w:rsidRPr="00A53397" w:rsidTr="00617656">
        <w:trPr>
          <w:trHeight w:val="315"/>
        </w:trPr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  <w:t>Надання інших видів послуг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S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10612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528,75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1036,35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397" w:rsidRPr="00A53397" w:rsidRDefault="00A53397" w:rsidP="00A5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</w:pPr>
            <w:r w:rsidRPr="00A53397">
              <w:rPr>
                <w:rFonts w:ascii="Times New Roman" w:eastAsia="Times New Roman" w:hAnsi="Times New Roman" w:cs="Times New Roman"/>
                <w:sz w:val="22"/>
                <w:szCs w:val="22"/>
                <w:lang w:eastAsia="uk-UA"/>
              </w:rPr>
              <w:t>5,0</w:t>
            </w:r>
          </w:p>
        </w:tc>
      </w:tr>
    </w:tbl>
    <w:p w:rsidR="00A53397" w:rsidRPr="00A53397" w:rsidRDefault="00A53397" w:rsidP="00A533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397" w:rsidRDefault="00A53397" w:rsidP="00D167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12B" w:rsidRDefault="00B2412B" w:rsidP="00D167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12B" w:rsidRDefault="00B2412B" w:rsidP="00D167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12B" w:rsidRPr="00B2412B" w:rsidRDefault="00B2412B" w:rsidP="00D167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1AFD" w:rsidRPr="00156A5A" w:rsidRDefault="00156A5A" w:rsidP="007475DD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="00001AFD">
        <w:rPr>
          <w:rFonts w:ascii="Times New Roman" w:hAnsi="Times New Roman" w:cs="Times New Roman"/>
          <w:color w:val="000000"/>
          <w:sz w:val="28"/>
          <w:szCs w:val="28"/>
        </w:rPr>
        <w:t>Таблиця 3</w:t>
      </w:r>
      <w:r w:rsidR="00001AFD"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6362" w:rsidRPr="003A6362" w:rsidRDefault="003A6362" w:rsidP="003A6362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Оцінки надійності показника "Середньомісячні витрати підприємств</w:t>
      </w:r>
    </w:p>
    <w:p w:rsidR="003A6362" w:rsidRPr="003A6362" w:rsidRDefault="003A6362" w:rsidP="003A6362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робочу силу в розрахунку на одного штатного працівника"</w:t>
      </w:r>
    </w:p>
    <w:p w:rsidR="003A6362" w:rsidRPr="003A6362" w:rsidRDefault="003A6362" w:rsidP="003A6362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регіонами </w:t>
      </w:r>
    </w:p>
    <w:p w:rsidR="00001AFD" w:rsidRPr="003A6362" w:rsidRDefault="00001AFD" w:rsidP="00001AFD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3A6362" w:rsidRPr="003A6362" w:rsidRDefault="003A6362" w:rsidP="003A6362">
      <w:pPr>
        <w:spacing w:after="0" w:line="240" w:lineRule="auto"/>
        <w:ind w:right="-58"/>
        <w:jc w:val="left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3A6362">
        <w:rPr>
          <w:rFonts w:ascii="Times New Roman" w:eastAsia="Times New Roman" w:hAnsi="Times New Roman" w:cs="Times New Roman"/>
          <w:sz w:val="22"/>
          <w:szCs w:val="22"/>
          <w:lang w:val="ru-RU"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3A6362">
        <w:rPr>
          <w:rFonts w:ascii="Times New Roman" w:eastAsia="Times New Roman" w:hAnsi="Times New Roman" w:cs="Times New Roman"/>
          <w:sz w:val="22"/>
          <w:szCs w:val="22"/>
          <w:lang w:eastAsia="ru-RU"/>
        </w:rPr>
        <w:t>(грн)</w:t>
      </w:r>
    </w:p>
    <w:tbl>
      <w:tblPr>
        <w:tblW w:w="9349" w:type="dxa"/>
        <w:jc w:val="center"/>
        <w:tblLook w:val="0000" w:firstRow="0" w:lastRow="0" w:firstColumn="0" w:lastColumn="0" w:noHBand="0" w:noVBand="0"/>
      </w:tblPr>
      <w:tblGrid>
        <w:gridCol w:w="2457"/>
        <w:gridCol w:w="1801"/>
        <w:gridCol w:w="1697"/>
        <w:gridCol w:w="1697"/>
        <w:gridCol w:w="1697"/>
      </w:tblGrid>
      <w:tr w:rsidR="003A6362" w:rsidRPr="003A6362" w:rsidTr="00AB167C">
        <w:trPr>
          <w:cantSplit/>
          <w:trHeight w:val="311"/>
          <w:jc w:val="center"/>
        </w:trPr>
        <w:tc>
          <w:tcPr>
            <w:tcW w:w="24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Середньомісячні витрати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Стандартна похибка вибірки </w:t>
            </w:r>
          </w:p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(SE)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Гранична похибка вибірки </w:t>
            </w:r>
          </w:p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(LSE)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Коефіцієнт варіації (CV), </w:t>
            </w:r>
          </w:p>
          <w:p w:rsidR="003A6362" w:rsidRPr="003A6362" w:rsidRDefault="003A6362" w:rsidP="003A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</w:tr>
      <w:tr w:rsidR="003A6362" w:rsidRPr="003A6362" w:rsidTr="00E41268">
        <w:trPr>
          <w:cantSplit/>
          <w:trHeight w:val="866"/>
          <w:jc w:val="center"/>
        </w:trPr>
        <w:tc>
          <w:tcPr>
            <w:tcW w:w="2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3A6362" w:rsidRPr="003A6362" w:rsidTr="00E41268">
        <w:trPr>
          <w:trHeight w:val="135"/>
          <w:jc w:val="center"/>
        </w:trPr>
        <w:tc>
          <w:tcPr>
            <w:tcW w:w="2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3A6362" w:rsidRPr="003A6362" w:rsidTr="00E41268">
        <w:trPr>
          <w:trHeight w:val="406"/>
          <w:jc w:val="center"/>
        </w:trPr>
        <w:tc>
          <w:tcPr>
            <w:tcW w:w="2457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Україна</w:t>
            </w:r>
          </w:p>
        </w:tc>
        <w:tc>
          <w:tcPr>
            <w:tcW w:w="1801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A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11268</w:t>
            </w:r>
          </w:p>
        </w:tc>
        <w:tc>
          <w:tcPr>
            <w:tcW w:w="169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A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30,81</w:t>
            </w:r>
          </w:p>
        </w:tc>
        <w:tc>
          <w:tcPr>
            <w:tcW w:w="169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A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60,38</w:t>
            </w:r>
          </w:p>
        </w:tc>
        <w:tc>
          <w:tcPr>
            <w:tcW w:w="1697" w:type="dxa"/>
            <w:tcBorders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A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0,3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Вінницька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9611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192,90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378,09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2,0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Волинська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9212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168,28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329,82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1,8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Дніпропетровська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11336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83,79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164,23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0,7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Донецька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12718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151,43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296,80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1,2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Житомирська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8900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139,33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273,09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1,6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Закарпатська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9904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128,15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251,17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1,3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Запорізька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11103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143,26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280,78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1,3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Івано-Франківська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9375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132,30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259,32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1,4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Київська 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11726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158,72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311,09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1,4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Кіровоградська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8691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158,17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310,01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1,8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Луганська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9813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156,25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306,24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1,6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Львівська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10085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106,14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208,04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1,1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Миколаївська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10492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209,52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410,66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2,0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Одеська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10258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149,73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293,48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1,5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Полтавська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10756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117,98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231,25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1,1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Рівненська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9723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231,84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454,40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2,4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Сумська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9005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142,02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278,37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1,6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Тернопільська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8932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188,53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369,52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2,1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Харківська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9946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102,38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200,67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1,0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Херсонська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8361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120,68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236,54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1,4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Хмельницька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9159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177,05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347,02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1,9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Черкаська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9300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187,31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367,12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2,0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Чернівецька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8635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118,19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231,65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1,4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Чернігівська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8620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136,63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267,80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1,6</w:t>
            </w:r>
          </w:p>
        </w:tc>
      </w:tr>
      <w:tr w:rsidR="003A6362" w:rsidRPr="003A6362" w:rsidTr="00E41268">
        <w:trPr>
          <w:trHeight w:val="391"/>
          <w:jc w:val="center"/>
        </w:trPr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3A636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м.Київ</w:t>
            </w:r>
            <w:proofErr w:type="spellEnd"/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16099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96,32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sz w:val="22"/>
                <w:szCs w:val="22"/>
              </w:rPr>
              <w:t>188,78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A6362" w:rsidRPr="003A6362" w:rsidRDefault="003A6362" w:rsidP="003A63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3A636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0,6</w:t>
            </w:r>
          </w:p>
        </w:tc>
      </w:tr>
    </w:tbl>
    <w:p w:rsidR="003A6362" w:rsidRDefault="003A6362" w:rsidP="00AB1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lang w:val="en-US" w:eastAsia="ru-RU"/>
        </w:rPr>
      </w:pPr>
    </w:p>
    <w:p w:rsidR="007475DD" w:rsidRPr="007475DD" w:rsidRDefault="007475DD" w:rsidP="00AB1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lang w:val="en-US" w:eastAsia="ru-RU"/>
        </w:rPr>
      </w:pPr>
    </w:p>
    <w:p w:rsidR="00001AFD" w:rsidRPr="00156A5A" w:rsidRDefault="00001AFD" w:rsidP="00AB167C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Таблиця </w:t>
      </w:r>
      <w:r w:rsidR="00AE1AE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167C" w:rsidRPr="00AB167C" w:rsidRDefault="00AB167C" w:rsidP="00AB167C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Оцінки надійності показника "Середньомісячні витрати підприємств</w:t>
      </w:r>
    </w:p>
    <w:p w:rsidR="00AB167C" w:rsidRPr="00AB167C" w:rsidRDefault="00AB167C" w:rsidP="00AB167C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робочу силу в розрахунку на одного штатного працівника" </w:t>
      </w:r>
    </w:p>
    <w:p w:rsidR="00AB167C" w:rsidRPr="00AB167C" w:rsidRDefault="00AB167C" w:rsidP="00AB167C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групах підприємств за їхнім розміром </w:t>
      </w:r>
    </w:p>
    <w:p w:rsidR="00156A5A" w:rsidRDefault="00156A5A" w:rsidP="007047F2">
      <w:pPr>
        <w:spacing w:after="0"/>
        <w:jc w:val="center"/>
        <w:rPr>
          <w:rFonts w:ascii="Times New Roman" w:hAnsi="Times New Roman" w:cs="Times New Roman"/>
        </w:rPr>
      </w:pPr>
    </w:p>
    <w:p w:rsidR="00AB167C" w:rsidRPr="00AB167C" w:rsidRDefault="00AB167C" w:rsidP="00AB167C">
      <w:pPr>
        <w:spacing w:after="0" w:line="240" w:lineRule="auto"/>
        <w:ind w:right="-58"/>
        <w:jc w:val="left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AB167C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</w:t>
      </w:r>
      <w:r w:rsidRPr="00AB167C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(грн)</w:t>
      </w:r>
    </w:p>
    <w:tbl>
      <w:tblPr>
        <w:tblW w:w="9438" w:type="dxa"/>
        <w:jc w:val="center"/>
        <w:tblLook w:val="0000" w:firstRow="0" w:lastRow="0" w:firstColumn="0" w:lastColumn="0" w:noHBand="0" w:noVBand="0"/>
      </w:tblPr>
      <w:tblGrid>
        <w:gridCol w:w="2427"/>
        <w:gridCol w:w="1812"/>
        <w:gridCol w:w="1733"/>
        <w:gridCol w:w="1733"/>
        <w:gridCol w:w="1733"/>
      </w:tblGrid>
      <w:tr w:rsidR="00AB167C" w:rsidRPr="00923E88" w:rsidTr="00AB167C">
        <w:trPr>
          <w:cantSplit/>
          <w:trHeight w:val="417"/>
          <w:jc w:val="center"/>
        </w:trPr>
        <w:tc>
          <w:tcPr>
            <w:tcW w:w="2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Середньомісячні витрати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Стандартна похибка вибірки </w:t>
            </w:r>
          </w:p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(SE)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Гранична похибка вибірки </w:t>
            </w:r>
          </w:p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(LSE)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Коефіцієнт варіації </w:t>
            </w:r>
          </w:p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(CV), </w:t>
            </w:r>
          </w:p>
          <w:p w:rsidR="00AB167C" w:rsidRPr="00923E88" w:rsidRDefault="00AB167C" w:rsidP="00AB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23E8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</w:tr>
      <w:tr w:rsidR="00AB167C" w:rsidRPr="00AB167C" w:rsidTr="00E41268">
        <w:trPr>
          <w:cantSplit/>
          <w:trHeight w:val="478"/>
          <w:jc w:val="center"/>
        </w:trPr>
        <w:tc>
          <w:tcPr>
            <w:tcW w:w="24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AB167C" w:rsidRPr="00AB167C" w:rsidTr="00E41268">
        <w:trPr>
          <w:trHeight w:val="161"/>
          <w:jc w:val="center"/>
        </w:trPr>
        <w:tc>
          <w:tcPr>
            <w:tcW w:w="2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AB167C" w:rsidRPr="00AB167C" w:rsidTr="00E41268">
        <w:trPr>
          <w:trHeight w:val="68"/>
          <w:jc w:val="center"/>
        </w:trPr>
        <w:tc>
          <w:tcPr>
            <w:tcW w:w="2427" w:type="dxa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B1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11268</w:t>
            </w: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B1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30,81</w:t>
            </w: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B1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60,38</w:t>
            </w: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B1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uk-UA"/>
              </w:rPr>
              <w:t>0,3</w:t>
            </w:r>
          </w:p>
        </w:tc>
      </w:tr>
      <w:tr w:rsidR="00AB167C" w:rsidRPr="00AB167C" w:rsidTr="00E41268">
        <w:trPr>
          <w:trHeight w:val="1071"/>
          <w:jc w:val="center"/>
        </w:trPr>
        <w:tc>
          <w:tcPr>
            <w:tcW w:w="2427" w:type="dxa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 тому числі на підприємствах</w:t>
            </w:r>
          </w:p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з кількістю працівників, осіб </w:t>
            </w: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AB167C" w:rsidRPr="00AB167C" w:rsidTr="00E41268">
        <w:trPr>
          <w:trHeight w:val="394"/>
          <w:jc w:val="center"/>
        </w:trPr>
        <w:tc>
          <w:tcPr>
            <w:tcW w:w="2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10-49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8647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84,56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sz w:val="22"/>
                <w:szCs w:val="22"/>
              </w:rPr>
              <w:t>165,74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1,0</w:t>
            </w:r>
          </w:p>
        </w:tc>
      </w:tr>
      <w:tr w:rsidR="00AB167C" w:rsidRPr="00AB167C" w:rsidTr="00E41268">
        <w:trPr>
          <w:trHeight w:val="394"/>
          <w:jc w:val="center"/>
        </w:trPr>
        <w:tc>
          <w:tcPr>
            <w:tcW w:w="2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50-249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10160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79,05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sz w:val="22"/>
                <w:szCs w:val="22"/>
              </w:rPr>
              <w:t>154,93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0,8</w:t>
            </w:r>
          </w:p>
        </w:tc>
      </w:tr>
      <w:tr w:rsidR="00AB167C" w:rsidRPr="00AB167C" w:rsidTr="00E41268">
        <w:trPr>
          <w:trHeight w:val="394"/>
          <w:jc w:val="center"/>
        </w:trPr>
        <w:tc>
          <w:tcPr>
            <w:tcW w:w="2427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250-4</w:t>
            </w: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val="en-US" w:eastAsia="ru-RU"/>
              </w:rPr>
              <w:t>9</w:t>
            </w: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11126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50,52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sz w:val="22"/>
                <w:szCs w:val="22"/>
              </w:rPr>
              <w:t>99,01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0,5</w:t>
            </w:r>
          </w:p>
        </w:tc>
      </w:tr>
      <w:tr w:rsidR="00AB167C" w:rsidRPr="00AB167C" w:rsidTr="00E41268">
        <w:trPr>
          <w:trHeight w:val="394"/>
          <w:jc w:val="center"/>
        </w:trPr>
        <w:tc>
          <w:tcPr>
            <w:tcW w:w="2427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500-999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11416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43,66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sz w:val="22"/>
                <w:szCs w:val="22"/>
              </w:rPr>
              <w:t>85,57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0,4</w:t>
            </w:r>
          </w:p>
        </w:tc>
      </w:tr>
      <w:tr w:rsidR="00AB167C" w:rsidRPr="00AB167C" w:rsidTr="00E41268">
        <w:trPr>
          <w:trHeight w:val="394"/>
          <w:jc w:val="center"/>
        </w:trPr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B167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1000 і більше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13473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41,41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sz w:val="22"/>
                <w:szCs w:val="22"/>
              </w:rPr>
              <w:t>81,16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167C" w:rsidRPr="00AB167C" w:rsidRDefault="00AB167C" w:rsidP="00AB16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AB167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0,3</w:t>
            </w:r>
          </w:p>
        </w:tc>
      </w:tr>
    </w:tbl>
    <w:p w:rsidR="00AB167C" w:rsidRPr="00AB167C" w:rsidRDefault="00AB167C" w:rsidP="00704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D092C">
        <w:rPr>
          <w:rFonts w:ascii="Times New Roman" w:hAnsi="Times New Roman" w:cs="Times New Roman"/>
          <w:sz w:val="28"/>
          <w:szCs w:val="28"/>
        </w:rPr>
        <w:t>Рівні повних відповідей</w:t>
      </w:r>
      <w:r w:rsidR="00E41268">
        <w:rPr>
          <w:rFonts w:ascii="Times New Roman" w:hAnsi="Times New Roman" w:cs="Times New Roman"/>
          <w:sz w:val="28"/>
          <w:szCs w:val="28"/>
        </w:rPr>
        <w:t xml:space="preserve"> респондентів</w:t>
      </w:r>
      <w:r w:rsidRPr="006D092C">
        <w:rPr>
          <w:rFonts w:ascii="Times New Roman" w:hAnsi="Times New Roman" w:cs="Times New Roman"/>
          <w:sz w:val="28"/>
          <w:szCs w:val="28"/>
        </w:rPr>
        <w:t>, обчислені за видами економічної діяльності та</w:t>
      </w:r>
      <w:r w:rsidRPr="00D56BC6">
        <w:rPr>
          <w:rFonts w:ascii="Times New Roman" w:hAnsi="Times New Roman" w:cs="Times New Roman"/>
          <w:sz w:val="28"/>
          <w:szCs w:val="28"/>
        </w:rPr>
        <w:t xml:space="preserve"> 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регіонами України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наведен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на рис</w:t>
      </w:r>
      <w:r w:rsidR="00A624A6">
        <w:rPr>
          <w:rFonts w:ascii="Times New Roman" w:hAnsi="Times New Roman" w:cs="Times New Roman"/>
          <w:color w:val="000000"/>
          <w:sz w:val="28"/>
          <w:szCs w:val="28"/>
        </w:rPr>
        <w:t>унках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D167E1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2. Необхідно 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D167E1">
        <w:rPr>
          <w:rFonts w:ascii="Times New Roman" w:hAnsi="Times New Roman" w:cs="Times New Roman"/>
          <w:color w:val="000000"/>
          <w:sz w:val="28"/>
          <w:szCs w:val="28"/>
        </w:rPr>
        <w:t>значити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, що часткові відповіді в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41268">
        <w:rPr>
          <w:rFonts w:ascii="Times New Roman" w:hAnsi="Times New Roman" w:cs="Times New Roman"/>
          <w:color w:val="000000"/>
          <w:sz w:val="28"/>
          <w:szCs w:val="28"/>
        </w:rPr>
        <w:t>ВРС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не фіксуються. </w:t>
      </w:r>
    </w:p>
    <w:p w:rsidR="000E3F53" w:rsidRPr="004A2F0D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A2F0D">
        <w:rPr>
          <w:rFonts w:ascii="Times New Roman" w:hAnsi="Times New Roman" w:cs="Times New Roman"/>
          <w:color w:val="000000"/>
          <w:sz w:val="28"/>
          <w:szCs w:val="28"/>
        </w:rPr>
        <w:t>У середньому по Україні рівень повних відповідей становив 9</w:t>
      </w:r>
      <w:r w:rsidR="004A2F0D" w:rsidRPr="004A2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542FF" w:rsidRPr="004A2F0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2F0D" w:rsidRPr="004A2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A2F0D">
        <w:rPr>
          <w:rFonts w:ascii="Times New Roman" w:hAnsi="Times New Roman" w:cs="Times New Roman"/>
          <w:color w:val="000000"/>
          <w:sz w:val="28"/>
          <w:szCs w:val="28"/>
        </w:rPr>
        <w:t>%. За видами економічно</w:t>
      </w:r>
      <w:r w:rsidR="00960EEC" w:rsidRPr="004A2F0D">
        <w:rPr>
          <w:rFonts w:ascii="Times New Roman" w:hAnsi="Times New Roman" w:cs="Times New Roman"/>
          <w:color w:val="000000"/>
          <w:sz w:val="28"/>
          <w:szCs w:val="28"/>
        </w:rPr>
        <w:t xml:space="preserve">ї діяльності він коливався від </w:t>
      </w:r>
      <w:r w:rsidR="00A542FF" w:rsidRPr="004A2F0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A2F0D" w:rsidRPr="004A2F0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A2F0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2F0D" w:rsidRPr="004A2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A2F0D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A542FF" w:rsidRPr="004A2F0D">
        <w:rPr>
          <w:rFonts w:ascii="Times New Roman" w:hAnsi="Times New Roman" w:cs="Times New Roman"/>
          <w:color w:val="000000"/>
          <w:sz w:val="28"/>
          <w:szCs w:val="28"/>
        </w:rPr>
        <w:t>у наданні інших видів послуг</w:t>
      </w:r>
      <w:r w:rsidR="00960EEC" w:rsidRPr="004A2F0D">
        <w:rPr>
          <w:rFonts w:ascii="Times New Roman" w:hAnsi="Times New Roman" w:cs="Times New Roman"/>
          <w:color w:val="000000"/>
          <w:sz w:val="28"/>
          <w:szCs w:val="28"/>
        </w:rPr>
        <w:t xml:space="preserve"> до 98,</w:t>
      </w:r>
      <w:r w:rsidR="004A2F0D" w:rsidRPr="004A2F0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A2F0D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A542FF" w:rsidRPr="004A2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2F0D" w:rsidRPr="004A2F0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A542FF" w:rsidRPr="004A2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73B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273B3" w:rsidRPr="006273B3">
        <w:rPr>
          <w:rFonts w:ascii="Times New Roman" w:hAnsi="Times New Roman" w:cs="Times New Roman"/>
          <w:color w:val="000000"/>
          <w:sz w:val="28"/>
          <w:szCs w:val="28"/>
        </w:rPr>
        <w:t>одопостачанн</w:t>
      </w:r>
      <w:r w:rsidR="006273B3">
        <w:rPr>
          <w:rFonts w:ascii="Times New Roman" w:hAnsi="Times New Roman" w:cs="Times New Roman"/>
          <w:color w:val="000000"/>
          <w:sz w:val="28"/>
          <w:szCs w:val="28"/>
        </w:rPr>
        <w:t>і,</w:t>
      </w:r>
      <w:r w:rsidR="006273B3" w:rsidRPr="006273B3">
        <w:rPr>
          <w:rFonts w:ascii="Times New Roman" w:hAnsi="Times New Roman" w:cs="Times New Roman"/>
          <w:color w:val="000000"/>
          <w:sz w:val="28"/>
          <w:szCs w:val="28"/>
        </w:rPr>
        <w:t xml:space="preserve"> каналізаці</w:t>
      </w:r>
      <w:r w:rsidR="006273B3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6273B3" w:rsidRPr="006273B3">
        <w:rPr>
          <w:rFonts w:ascii="Times New Roman" w:hAnsi="Times New Roman" w:cs="Times New Roman"/>
          <w:color w:val="000000"/>
          <w:sz w:val="28"/>
          <w:szCs w:val="28"/>
        </w:rPr>
        <w:t>, поводженн</w:t>
      </w:r>
      <w:r w:rsidR="006273B3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6273B3" w:rsidRPr="006273B3">
        <w:rPr>
          <w:rFonts w:ascii="Times New Roman" w:hAnsi="Times New Roman" w:cs="Times New Roman"/>
          <w:color w:val="000000"/>
          <w:sz w:val="28"/>
          <w:szCs w:val="28"/>
        </w:rPr>
        <w:t xml:space="preserve"> з відходами</w:t>
      </w:r>
      <w:r w:rsidRPr="004A2F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ED7493">
        <w:rPr>
          <w:rFonts w:ascii="Times New Roman" w:hAnsi="Times New Roman" w:cs="Times New Roman"/>
          <w:color w:val="000000"/>
          <w:sz w:val="28"/>
          <w:szCs w:val="28"/>
        </w:rPr>
        <w:t>Слід зазначити, що з 1</w:t>
      </w:r>
      <w:r w:rsidR="0070004D" w:rsidRPr="00ED7493">
        <w:rPr>
          <w:rFonts w:ascii="Times New Roman" w:hAnsi="Times New Roman" w:cs="Times New Roman"/>
          <w:color w:val="000000"/>
          <w:sz w:val="28"/>
          <w:szCs w:val="28"/>
        </w:rPr>
        <w:t>487</w:t>
      </w:r>
      <w:r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 випадків неотримання інфо</w:t>
      </w:r>
      <w:r w:rsidR="00960EEC"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рмації від респондентів (тобто </w:t>
      </w:r>
      <w:r w:rsidR="006D092C" w:rsidRPr="00ED7493">
        <w:rPr>
          <w:rFonts w:ascii="Times New Roman" w:hAnsi="Times New Roman" w:cs="Times New Roman"/>
          <w:color w:val="000000"/>
          <w:sz w:val="28"/>
          <w:szCs w:val="28"/>
        </w:rPr>
        <w:t>8,</w:t>
      </w:r>
      <w:r w:rsidR="0070004D" w:rsidRPr="00ED749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% відібраних для обстеження) лише </w:t>
      </w:r>
      <w:r w:rsidR="0070004D" w:rsidRPr="00ED7493">
        <w:rPr>
          <w:rFonts w:ascii="Times New Roman" w:hAnsi="Times New Roman" w:cs="Times New Roman"/>
          <w:color w:val="000000"/>
          <w:sz w:val="28"/>
          <w:szCs w:val="28"/>
        </w:rPr>
        <w:t>355</w:t>
      </w:r>
      <w:r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628" w:rsidRPr="00ED7493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ED7493">
        <w:rPr>
          <w:rFonts w:ascii="Times New Roman" w:hAnsi="Times New Roman" w:cs="Times New Roman"/>
          <w:color w:val="000000"/>
          <w:sz w:val="28"/>
          <w:szCs w:val="28"/>
        </w:rPr>
        <w:t>умовлені відмовами від звітування, решта випадк</w:t>
      </w:r>
      <w:r w:rsidR="00E41628" w:rsidRPr="00ED7493">
        <w:rPr>
          <w:rFonts w:ascii="Times New Roman" w:hAnsi="Times New Roman" w:cs="Times New Roman"/>
          <w:color w:val="000000"/>
          <w:sz w:val="28"/>
          <w:szCs w:val="28"/>
        </w:rPr>
        <w:t>ів неподання звітності пов’язана</w:t>
      </w:r>
      <w:r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 з іншими об’єктивними причинами, наприклад демографічними перетвореннями, припиненням</w:t>
      </w:r>
      <w:r w:rsidR="00F013C1"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 роботи</w:t>
      </w:r>
      <w:r w:rsidRPr="00ED7493"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підприємств, їх банкрутством тощо.</w:t>
      </w:r>
    </w:p>
    <w:p w:rsidR="006D092C" w:rsidRPr="000E3F53" w:rsidRDefault="006D092C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bookmarkStart w:id="0" w:name="_MON_1585058350"/>
    <w:bookmarkEnd w:id="0"/>
    <w:p w:rsidR="00951537" w:rsidRDefault="00A305EF" w:rsidP="00360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object w:dxaOrig="10892" w:dyaOrig="54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8pt;height:257.4pt" o:ole="">
            <v:imagedata r:id="rId9" o:title=""/>
          </v:shape>
          <o:OLEObject Type="Embed" ProgID="Excel.Sheet.12" ShapeID="_x0000_i1025" DrawAspect="Content" ObjectID="_1652614283" r:id="rId10"/>
        </w:object>
      </w:r>
    </w:p>
    <w:p w:rsidR="00B63DB5" w:rsidRPr="00645BF7" w:rsidRDefault="00B63DB5" w:rsidP="00AB65B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900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3544"/>
        <w:gridCol w:w="1134"/>
        <w:gridCol w:w="3118"/>
      </w:tblGrid>
      <w:tr w:rsidR="00B63DB5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виду діяльності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діяльності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виду діяльності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Вид діяльності 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="00F153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ільське господарство</w:t>
            </w: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F153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лісове господарство та рибне господарство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Інформація та телекомунікації</w:t>
            </w:r>
          </w:p>
        </w:tc>
      </w:tr>
      <w:tr w:rsidR="00053691" w:rsidRPr="00B63DB5" w:rsidTr="0036054E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В+С+D+E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Промисловість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Фінансова та страхова діяльність </w:t>
            </w:r>
          </w:p>
        </w:tc>
      </w:tr>
      <w:tr w:rsidR="00053691" w:rsidRPr="00B63DB5" w:rsidTr="0036054E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Добувна промисловість </w:t>
            </w:r>
            <w:r w:rsidR="006273B3" w:rsidRPr="006273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 розроблення кар'єрів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Операції з нерухомим майном</w:t>
            </w:r>
          </w:p>
        </w:tc>
      </w:tr>
      <w:tr w:rsidR="00053691" w:rsidRPr="00B63DB5" w:rsidTr="0036054E">
        <w:trPr>
          <w:trHeight w:val="36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Переробна промисловість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Професійна, наукова та технічна діяльність</w:t>
            </w:r>
          </w:p>
        </w:tc>
      </w:tr>
      <w:tr w:rsidR="00053691" w:rsidRPr="00B63DB5" w:rsidTr="0036054E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Діяльність у сфері адміністративного та допоміжного обслуговування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6273B3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73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Водопостачання; каналізація, поводження з відходами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Державне управління й оборона; обов’язкове соціальне страхування</w:t>
            </w:r>
          </w:p>
        </w:tc>
      </w:tr>
      <w:tr w:rsidR="00053691" w:rsidRPr="00B63DB5" w:rsidTr="0015263E">
        <w:trPr>
          <w:trHeight w:val="167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Будівництво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P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Освіта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Q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Охорона здоров’я та надання соціальної допомоги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Мистецтво, спорт, розваги та відпочинок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Тимчасове розміщування й організація харчування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видів послуг</w:t>
            </w:r>
          </w:p>
        </w:tc>
      </w:tr>
    </w:tbl>
    <w:p w:rsidR="00645BF7" w:rsidRDefault="00645BF7" w:rsidP="00645BF7">
      <w:pPr>
        <w:pStyle w:val="Default"/>
        <w:rPr>
          <w:b/>
          <w:bCs/>
        </w:rPr>
      </w:pPr>
    </w:p>
    <w:p w:rsidR="00645BF7" w:rsidRPr="00476765" w:rsidRDefault="000C0D73" w:rsidP="009E65AF">
      <w:pPr>
        <w:pStyle w:val="Default"/>
        <w:jc w:val="center"/>
        <w:rPr>
          <w:bCs/>
          <w:sz w:val="28"/>
          <w:szCs w:val="28"/>
        </w:rPr>
      </w:pPr>
      <w:r w:rsidRPr="00476765">
        <w:rPr>
          <w:bCs/>
          <w:sz w:val="28"/>
          <w:szCs w:val="28"/>
        </w:rPr>
        <w:t>Рис.1 Рівні повних відповідей респондентів за видами економічної</w:t>
      </w:r>
    </w:p>
    <w:p w:rsidR="000C0D73" w:rsidRPr="00476765" w:rsidRDefault="000C0D73" w:rsidP="009E65AF">
      <w:pPr>
        <w:pStyle w:val="Default"/>
        <w:jc w:val="center"/>
        <w:rPr>
          <w:bCs/>
          <w:sz w:val="28"/>
          <w:szCs w:val="28"/>
        </w:rPr>
      </w:pPr>
      <w:r w:rsidRPr="00476765">
        <w:rPr>
          <w:bCs/>
          <w:sz w:val="28"/>
          <w:szCs w:val="28"/>
        </w:rPr>
        <w:t>діяльності</w:t>
      </w:r>
      <w:r w:rsidR="00645BF7" w:rsidRPr="00476765">
        <w:rPr>
          <w:bCs/>
          <w:sz w:val="28"/>
          <w:szCs w:val="28"/>
        </w:rPr>
        <w:t xml:space="preserve"> у 201</w:t>
      </w:r>
      <w:r w:rsidR="00B844E8">
        <w:rPr>
          <w:bCs/>
          <w:sz w:val="28"/>
          <w:szCs w:val="28"/>
        </w:rPr>
        <w:t>9</w:t>
      </w:r>
      <w:r w:rsidR="00645BF7" w:rsidRPr="00476765">
        <w:rPr>
          <w:bCs/>
          <w:sz w:val="28"/>
          <w:szCs w:val="28"/>
        </w:rPr>
        <w:t xml:space="preserve"> році</w:t>
      </w:r>
    </w:p>
    <w:p w:rsidR="00B844E8" w:rsidRDefault="00B844E8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AB65B0" w:rsidRDefault="00444F69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B35FCD">
        <w:rPr>
          <w:rFonts w:ascii="Times New Roman" w:hAnsi="Times New Roman" w:cs="Times New Roman"/>
          <w:color w:val="000000"/>
          <w:sz w:val="28"/>
          <w:szCs w:val="28"/>
        </w:rPr>
        <w:t>Найвищий рівень повних відповідей серед регіонів спостерігався у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Чернігівській області (98,</w:t>
      </w:r>
      <w:r w:rsidR="00D338C3" w:rsidRPr="00B35FC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%), </w:t>
      </w:r>
      <w:r w:rsidR="00D338C3" w:rsidRPr="00B35FCD">
        <w:rPr>
          <w:rFonts w:ascii="Times New Roman" w:hAnsi="Times New Roman" w:cs="Times New Roman"/>
          <w:color w:val="000000"/>
          <w:sz w:val="28"/>
          <w:szCs w:val="28"/>
        </w:rPr>
        <w:t>Закарпатській (98,1%)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D338C3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Івано-Франківсь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кій (9</w:t>
      </w:r>
      <w:r w:rsidR="00D338C3" w:rsidRPr="00B35FC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338C3" w:rsidRPr="00B35FC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%),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5FCD">
        <w:rPr>
          <w:rFonts w:ascii="Times New Roman" w:hAnsi="Times New Roman" w:cs="Times New Roman"/>
          <w:color w:val="000000"/>
          <w:sz w:val="28"/>
          <w:szCs w:val="28"/>
        </w:rPr>
        <w:t>а най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нижч</w:t>
      </w:r>
      <w:r w:rsidRPr="00B35FCD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Кіровоградсь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кій</w:t>
      </w:r>
      <w:r w:rsidR="00BB18D0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області </w:t>
      </w:r>
      <w:r w:rsidR="00BB18D0" w:rsidRPr="00B35FC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81</w:t>
      </w:r>
      <w:r w:rsidR="00BB18D0" w:rsidRPr="00B35FC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B18D0" w:rsidRPr="00B35FCD"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, Запорізькій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(87,0%) </w:t>
      </w:r>
      <w:r w:rsidR="00B35FCD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Чернівець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кій (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89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35FCD" w:rsidRPr="00B35FC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5886" w:rsidRPr="00B35FCD"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Pr="00B35F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6E1D" w:rsidRDefault="00E76E1D" w:rsidP="00444F6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bookmarkStart w:id="1" w:name="_MON_1467792756"/>
    <w:bookmarkEnd w:id="1"/>
    <w:p w:rsidR="00D524B8" w:rsidRDefault="00E53A6F" w:rsidP="00D524B8">
      <w:pPr>
        <w:pStyle w:val="Default"/>
        <w:jc w:val="center"/>
        <w:rPr>
          <w:b/>
          <w:bCs/>
        </w:rPr>
      </w:pPr>
      <w:r>
        <w:rPr>
          <w:sz w:val="28"/>
          <w:szCs w:val="28"/>
        </w:rPr>
        <w:object w:dxaOrig="8006" w:dyaOrig="6182">
          <v:shape id="_x0000_i1026" type="#_x0000_t75" style="width:445.8pt;height:337.8pt" o:ole="">
            <v:imagedata r:id="rId11" o:title=""/>
          </v:shape>
          <o:OLEObject Type="Embed" ProgID="Excel.Sheet.12" ShapeID="_x0000_i1026" DrawAspect="Content" ObjectID="_1652614284" r:id="rId12"/>
        </w:object>
      </w:r>
    </w:p>
    <w:p w:rsidR="00D524B8" w:rsidRDefault="00D524B8" w:rsidP="00645BF7">
      <w:pPr>
        <w:pStyle w:val="Default"/>
        <w:rPr>
          <w:b/>
          <w:bCs/>
        </w:rPr>
      </w:pPr>
    </w:p>
    <w:p w:rsidR="00AB65B0" w:rsidRPr="00D524B8" w:rsidRDefault="00645BF7" w:rsidP="00D524B8">
      <w:pPr>
        <w:pStyle w:val="Default"/>
        <w:jc w:val="center"/>
        <w:rPr>
          <w:bCs/>
          <w:sz w:val="28"/>
          <w:szCs w:val="28"/>
        </w:rPr>
      </w:pPr>
      <w:r w:rsidRPr="00D524B8">
        <w:rPr>
          <w:bCs/>
          <w:sz w:val="28"/>
          <w:szCs w:val="28"/>
        </w:rPr>
        <w:t xml:space="preserve">Рис.2 Рівні повних відповідей респондентів за </w:t>
      </w:r>
      <w:r w:rsidR="0014121D" w:rsidRPr="00D524B8">
        <w:rPr>
          <w:bCs/>
          <w:sz w:val="28"/>
          <w:szCs w:val="28"/>
        </w:rPr>
        <w:t>регіонами</w:t>
      </w:r>
      <w:r w:rsidRPr="00D524B8">
        <w:rPr>
          <w:bCs/>
          <w:sz w:val="28"/>
          <w:szCs w:val="28"/>
        </w:rPr>
        <w:t xml:space="preserve"> у 201</w:t>
      </w:r>
      <w:r w:rsidR="00B844E8">
        <w:rPr>
          <w:bCs/>
          <w:sz w:val="28"/>
          <w:szCs w:val="28"/>
        </w:rPr>
        <w:t>9</w:t>
      </w:r>
      <w:r w:rsidRPr="00D524B8">
        <w:rPr>
          <w:bCs/>
          <w:sz w:val="28"/>
          <w:szCs w:val="28"/>
        </w:rPr>
        <w:t xml:space="preserve"> році</w:t>
      </w:r>
    </w:p>
    <w:p w:rsidR="00645BF7" w:rsidRDefault="00645BF7" w:rsidP="00645BF7">
      <w:pPr>
        <w:pStyle w:val="Default"/>
        <w:rPr>
          <w:b/>
          <w:bCs/>
          <w:sz w:val="28"/>
          <w:szCs w:val="28"/>
        </w:rPr>
      </w:pPr>
    </w:p>
    <w:p w:rsidR="000E3F53" w:rsidRDefault="007525BF" w:rsidP="0047202E">
      <w:pPr>
        <w:pStyle w:val="Default"/>
        <w:jc w:val="center"/>
        <w:rPr>
          <w:b/>
          <w:bCs/>
          <w:sz w:val="28"/>
          <w:szCs w:val="28"/>
        </w:rPr>
      </w:pPr>
      <w:r w:rsidRPr="00AD40BA">
        <w:rPr>
          <w:b/>
          <w:bCs/>
          <w:sz w:val="28"/>
          <w:szCs w:val="28"/>
        </w:rPr>
        <w:t>3</w:t>
      </w:r>
      <w:r w:rsidR="0047202E" w:rsidRPr="00AD40BA">
        <w:rPr>
          <w:b/>
          <w:bCs/>
          <w:sz w:val="28"/>
          <w:szCs w:val="28"/>
        </w:rPr>
        <w:t xml:space="preserve">. </w:t>
      </w:r>
      <w:r w:rsidR="000E3F53" w:rsidRPr="00AD40BA">
        <w:rPr>
          <w:b/>
          <w:bCs/>
          <w:sz w:val="28"/>
          <w:szCs w:val="28"/>
        </w:rPr>
        <w:t>Своєчасність та пунктуальність</w:t>
      </w:r>
    </w:p>
    <w:p w:rsidR="000E3F53" w:rsidRDefault="000E3F53" w:rsidP="0047202E">
      <w:pPr>
        <w:pStyle w:val="Default"/>
        <w:jc w:val="center"/>
        <w:rPr>
          <w:b/>
          <w:bCs/>
          <w:sz w:val="28"/>
          <w:szCs w:val="28"/>
        </w:rPr>
      </w:pPr>
    </w:p>
    <w:p w:rsidR="007475DD" w:rsidRPr="007475DD" w:rsidRDefault="007475DD" w:rsidP="007475D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7475D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Своєчасність характеризує інтервал часу між моментом (періодом), у який відбувалося явище або процес, що описують статистичні дані, та датою готовності цих даних для використання.</w:t>
      </w:r>
    </w:p>
    <w:p w:rsidR="007475DD" w:rsidRPr="007475DD" w:rsidRDefault="007475DD" w:rsidP="007475D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7475D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Пунктуальність характеризує період часу між датою публікації даних і датою, на яку планували їх випуск і яку було заздалегідь анонсовано.</w:t>
      </w:r>
    </w:p>
    <w:p w:rsidR="007475DD" w:rsidRPr="007475DD" w:rsidRDefault="007475DD" w:rsidP="007475D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05A16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Статистична інформація за результатами О</w:t>
      </w:r>
      <w:r w:rsidR="007475DD">
        <w:rPr>
          <w:rFonts w:ascii="Times New Roman" w:hAnsi="Times New Roman" w:cs="Times New Roman"/>
          <w:color w:val="000000"/>
          <w:sz w:val="28"/>
          <w:szCs w:val="28"/>
        </w:rPr>
        <w:t>ВРС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оприлюднюється згідно </w:t>
      </w:r>
      <w:r w:rsidR="007475DD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з планом державних статистичних спостережень і порядком її розміщення на </w:t>
      </w:r>
      <w:proofErr w:type="spellStart"/>
      <w:r w:rsidRPr="000E3F53">
        <w:rPr>
          <w:rFonts w:ascii="Times New Roman" w:hAnsi="Times New Roman" w:cs="Times New Roman"/>
          <w:color w:val="000000"/>
          <w:sz w:val="28"/>
          <w:szCs w:val="28"/>
        </w:rPr>
        <w:t>вебсайті</w:t>
      </w:r>
      <w:proofErr w:type="spellEnd"/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E3F53">
        <w:rPr>
          <w:rFonts w:ascii="Times New Roman" w:hAnsi="Times New Roman" w:cs="Times New Roman"/>
          <w:color w:val="000000"/>
          <w:sz w:val="28"/>
          <w:szCs w:val="28"/>
        </w:rPr>
        <w:t>Держстату</w:t>
      </w:r>
      <w:proofErr w:type="spellEnd"/>
      <w:r w:rsidRPr="000E3F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3F53" w:rsidRPr="000E3F53" w:rsidRDefault="00905A16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сновні результати </w:t>
      </w:r>
      <w:r w:rsidR="007475DD" w:rsidRPr="000E3F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475DD">
        <w:rPr>
          <w:rFonts w:ascii="Times New Roman" w:hAnsi="Times New Roman" w:cs="Times New Roman"/>
          <w:color w:val="000000"/>
          <w:sz w:val="28"/>
          <w:szCs w:val="28"/>
        </w:rPr>
        <w:t>ВРС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та відповідні методологічні пояснення</w:t>
      </w:r>
      <w:r w:rsidR="000E3F53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оприлюдню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>ються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статистичному збірнику "</w:t>
      </w:r>
      <w:r w:rsidR="007475DD" w:rsidRPr="007475DD">
        <w:rPr>
          <w:rFonts w:ascii="Times New Roman" w:hAnsi="Times New Roman" w:cs="Times New Roman"/>
          <w:color w:val="000000"/>
          <w:sz w:val="28"/>
          <w:szCs w:val="28"/>
        </w:rPr>
        <w:t>Витрати на робочу силу</w:t>
      </w:r>
      <w:r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Дані надаються користувачам в електронному вигляді та </w:t>
      </w:r>
      <w:r w:rsidR="002D3DCC" w:rsidRPr="002D3DCC">
        <w:rPr>
          <w:rFonts w:ascii="Times New Roman" w:hAnsi="Times New Roman" w:cs="Times New Roman"/>
          <w:color w:val="000000"/>
          <w:sz w:val="28"/>
          <w:szCs w:val="28"/>
        </w:rPr>
        <w:t>на паперових носіях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76E1D" w:rsidRDefault="00905A16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Терміни підготовки статистичних видань за результатами </w:t>
      </w:r>
      <w:r w:rsidR="00BC6251" w:rsidRPr="000E3F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C6251">
        <w:rPr>
          <w:rFonts w:ascii="Times New Roman" w:hAnsi="Times New Roman" w:cs="Times New Roman"/>
          <w:color w:val="000000"/>
          <w:sz w:val="28"/>
          <w:szCs w:val="28"/>
        </w:rPr>
        <w:t>ВРС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нав</w:t>
      </w:r>
      <w:r w:rsidR="00EA658D">
        <w:rPr>
          <w:rFonts w:ascii="Times New Roman" w:hAnsi="Times New Roman" w:cs="Times New Roman"/>
          <w:color w:val="000000"/>
          <w:sz w:val="28"/>
          <w:szCs w:val="28"/>
        </w:rPr>
        <w:t>одяться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календарі </w:t>
      </w:r>
      <w:r>
        <w:rPr>
          <w:rFonts w:ascii="Times New Roman" w:hAnsi="Times New Roman" w:cs="Times New Roman"/>
          <w:color w:val="000000"/>
          <w:sz w:val="28"/>
          <w:szCs w:val="28"/>
        </w:rPr>
        <w:t>оприлюдн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публікацій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Держстату, який розміщ</w:t>
      </w:r>
      <w:r w:rsidR="00EA658D">
        <w:rPr>
          <w:rFonts w:ascii="Times New Roman" w:hAnsi="Times New Roman" w:cs="Times New Roman"/>
          <w:color w:val="000000"/>
          <w:sz w:val="28"/>
          <w:szCs w:val="28"/>
        </w:rPr>
        <w:t>ується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proofErr w:type="spellStart"/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вебсайті</w:t>
      </w:r>
      <w:proofErr w:type="spellEnd"/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Держстату</w:t>
      </w:r>
      <w:proofErr w:type="spellEnd"/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www.ukrstat.gov.ua</w:t>
      </w:r>
      <w:proofErr w:type="spellEnd"/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розділ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EA65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58D" w:rsidRPr="00905A1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A658D">
        <w:rPr>
          <w:rFonts w:ascii="Times New Roman" w:hAnsi="Times New Roman" w:cs="Times New Roman"/>
          <w:color w:val="000000"/>
          <w:sz w:val="28"/>
          <w:szCs w:val="28"/>
        </w:rPr>
        <w:t>Статистична інформація</w:t>
      </w:r>
      <w:r w:rsidR="00EA658D" w:rsidRPr="00905A1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A658D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>"Публікації"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788D" w:rsidRPr="0085788D" w:rsidRDefault="00E76E1D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Період проведення статистичного спостереження, що тривав 9 місяців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 терміни оприлюднення інформації за його результатами </w:t>
      </w:r>
      <w:r w:rsidR="00BC6251">
        <w:rPr>
          <w:rFonts w:ascii="Times New Roman" w:hAnsi="Times New Roman" w:cs="Times New Roman"/>
          <w:color w:val="000000"/>
          <w:sz w:val="28"/>
          <w:szCs w:val="28"/>
        </w:rPr>
        <w:t>відповідають положенням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251" w:rsidRPr="00BC6251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="00BC6251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 ЄС №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530/1999 від 9 березня 1999 року "</w:t>
      </w:r>
      <w:r w:rsidR="00BC6251" w:rsidRPr="00BC6251">
        <w:rPr>
          <w:rFonts w:ascii="Times New Roman" w:hAnsi="Times New Roman" w:cs="Times New Roman"/>
          <w:color w:val="000000"/>
          <w:sz w:val="28"/>
          <w:szCs w:val="28"/>
        </w:rPr>
        <w:t xml:space="preserve">Про структурну статистику </w:t>
      </w:r>
      <w:r>
        <w:rPr>
          <w:rFonts w:ascii="Times New Roman" w:hAnsi="Times New Roman" w:cs="Times New Roman"/>
          <w:color w:val="000000"/>
          <w:sz w:val="28"/>
          <w:szCs w:val="28"/>
        </w:rPr>
        <w:t>заробітків та витрат на робочу силу"</w:t>
      </w:r>
      <w:r w:rsidRPr="00E76E1D">
        <w:rPr>
          <w:rFonts w:ascii="Times New Roman" w:hAnsi="Times New Roman" w:cs="Times New Roman"/>
          <w:color w:val="000000"/>
          <w:sz w:val="28"/>
          <w:szCs w:val="28"/>
        </w:rPr>
        <w:t xml:space="preserve"> та іншим міжнародним стандартам з організації подібних обстежень</w:t>
      </w:r>
      <w:r>
        <w:rPr>
          <w:rFonts w:ascii="Times New Roman" w:hAnsi="Times New Roman" w:cs="Times New Roman"/>
          <w:color w:val="000000"/>
          <w:sz w:val="28"/>
          <w:szCs w:val="28"/>
        </w:rPr>
        <w:t>. С</w:t>
      </w:r>
      <w:r w:rsidR="0085788D">
        <w:rPr>
          <w:rFonts w:ascii="Times New Roman" w:hAnsi="Times New Roman" w:cs="Times New Roman"/>
          <w:color w:val="000000"/>
          <w:sz w:val="28"/>
          <w:szCs w:val="28"/>
        </w:rPr>
        <w:t xml:space="preserve">татистичний збірник </w:t>
      </w:r>
      <w:r w:rsidR="008866F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C6251" w:rsidRPr="007475DD">
        <w:rPr>
          <w:rFonts w:ascii="Times New Roman" w:hAnsi="Times New Roman" w:cs="Times New Roman"/>
          <w:color w:val="000000"/>
          <w:sz w:val="28"/>
          <w:szCs w:val="28"/>
        </w:rPr>
        <w:t>Витрати на робочу силу</w:t>
      </w:r>
      <w:r w:rsidR="00F357AA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="0085788D" w:rsidRPr="0085788D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BC625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F357AA">
        <w:rPr>
          <w:rFonts w:ascii="Times New Roman" w:hAnsi="Times New Roman" w:cs="Times New Roman"/>
          <w:color w:val="000000"/>
          <w:sz w:val="28"/>
          <w:szCs w:val="28"/>
        </w:rPr>
        <w:t xml:space="preserve"> рік</w:t>
      </w:r>
      <w:r w:rsidR="008866F5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>
        <w:rPr>
          <w:rFonts w:ascii="Times New Roman" w:hAnsi="Times New Roman" w:cs="Times New Roman"/>
          <w:color w:val="000000"/>
          <w:sz w:val="28"/>
          <w:szCs w:val="28"/>
        </w:rPr>
        <w:t>був розміщений</w:t>
      </w:r>
      <w:r w:rsidRPr="00E76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="009E550E">
        <w:rPr>
          <w:rFonts w:ascii="Times New Roman" w:hAnsi="Times New Roman" w:cs="Times New Roman"/>
          <w:color w:val="000000"/>
          <w:sz w:val="28"/>
          <w:szCs w:val="28"/>
        </w:rPr>
        <w:t>веб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сайті</w:t>
      </w:r>
      <w:proofErr w:type="spellEnd"/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E3F53">
        <w:rPr>
          <w:rFonts w:ascii="Times New Roman" w:hAnsi="Times New Roman" w:cs="Times New Roman"/>
          <w:color w:val="000000"/>
          <w:sz w:val="28"/>
          <w:szCs w:val="28"/>
        </w:rPr>
        <w:t>Держстату</w:t>
      </w:r>
      <w:proofErr w:type="spellEnd"/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58D">
        <w:rPr>
          <w:rFonts w:ascii="Times New Roman" w:hAnsi="Times New Roman" w:cs="Times New Roman"/>
          <w:color w:val="000000"/>
          <w:sz w:val="28"/>
          <w:szCs w:val="28"/>
        </w:rPr>
        <w:t>у</w:t>
      </w:r>
      <w:bookmarkStart w:id="2" w:name="_GoBack"/>
      <w:bookmarkEnd w:id="2"/>
      <w:r w:rsidRPr="0085788D">
        <w:rPr>
          <w:rFonts w:ascii="Times New Roman" w:hAnsi="Times New Roman" w:cs="Times New Roman"/>
          <w:color w:val="000000"/>
          <w:sz w:val="28"/>
          <w:szCs w:val="28"/>
        </w:rPr>
        <w:t xml:space="preserve"> розділі </w:t>
      </w:r>
      <w:r w:rsidR="00F357AA">
        <w:rPr>
          <w:rFonts w:ascii="Times New Roman" w:hAnsi="Times New Roman" w:cs="Times New Roman"/>
          <w:color w:val="000000"/>
          <w:sz w:val="28"/>
          <w:szCs w:val="28"/>
        </w:rPr>
        <w:t>"Статистична інформація"/</w:t>
      </w:r>
      <w:r>
        <w:rPr>
          <w:rFonts w:ascii="Times New Roman" w:hAnsi="Times New Roman" w:cs="Times New Roman"/>
          <w:color w:val="000000"/>
          <w:sz w:val="28"/>
          <w:szCs w:val="28"/>
        </w:rPr>
        <w:t>"Публікації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836E74">
        <w:rPr>
          <w:rFonts w:ascii="Times New Roman" w:hAnsi="Times New Roman" w:cs="Times New Roman"/>
          <w:color w:val="000000"/>
          <w:sz w:val="28"/>
          <w:szCs w:val="28"/>
        </w:rPr>
        <w:t>/"</w:t>
      </w:r>
      <w:r w:rsidR="00836E74" w:rsidRPr="00836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Ринок праці"/"</w:t>
      </w:r>
      <w:r w:rsidR="00836E74" w:rsidRPr="00836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праці та соціально-трудові відносини"</w:t>
      </w:r>
      <w:r w:rsidR="00836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E7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D3E0B">
        <w:rPr>
          <w:rFonts w:ascii="Times New Roman" w:hAnsi="Times New Roman" w:cs="Times New Roman"/>
          <w:color w:val="000000"/>
          <w:sz w:val="28"/>
          <w:szCs w:val="28"/>
        </w:rPr>
        <w:t>1 жовт</w:t>
      </w:r>
      <w:r>
        <w:rPr>
          <w:rFonts w:ascii="Times New Roman" w:hAnsi="Times New Roman" w:cs="Times New Roman"/>
          <w:color w:val="000000"/>
          <w:sz w:val="28"/>
          <w:szCs w:val="28"/>
        </w:rPr>
        <w:t>ня 201</w:t>
      </w:r>
      <w:r w:rsidR="007D3E0B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:rsidR="0047202E" w:rsidRPr="000E3F53" w:rsidRDefault="0085788D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3BD5" w:rsidRDefault="00DB3BD5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745B41" w:rsidRPr="000E3F53" w:rsidRDefault="00745B41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45B41" w:rsidRPr="000E3F53" w:rsidSect="00EE431F">
      <w:headerReference w:type="default" r:id="rId13"/>
      <w:footerReference w:type="default" r:id="rId14"/>
      <w:pgSz w:w="11906" w:h="16838"/>
      <w:pgMar w:top="14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48F" w:rsidRDefault="0075348F" w:rsidP="004B66A9">
      <w:pPr>
        <w:spacing w:after="0" w:line="240" w:lineRule="auto"/>
      </w:pPr>
      <w:r>
        <w:separator/>
      </w:r>
    </w:p>
  </w:endnote>
  <w:endnote w:type="continuationSeparator" w:id="0">
    <w:p w:rsidR="0075348F" w:rsidRDefault="0075348F" w:rsidP="004B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BA" w:rsidRDefault="00AD40BA">
    <w:pPr>
      <w:pStyle w:val="af8"/>
      <w:jc w:val="center"/>
    </w:pPr>
  </w:p>
  <w:p w:rsidR="00AD40BA" w:rsidRDefault="00AD40B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48F" w:rsidRDefault="0075348F" w:rsidP="004B66A9">
      <w:pPr>
        <w:spacing w:after="0" w:line="240" w:lineRule="auto"/>
      </w:pPr>
      <w:r>
        <w:separator/>
      </w:r>
    </w:p>
  </w:footnote>
  <w:footnote w:type="continuationSeparator" w:id="0">
    <w:p w:rsidR="0075348F" w:rsidRDefault="0075348F" w:rsidP="004B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016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AD40BA" w:rsidRPr="00EE431F" w:rsidRDefault="00AD40BA">
        <w:pPr>
          <w:pStyle w:val="af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EE431F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E431F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E431F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EA658D">
          <w:rPr>
            <w:rFonts w:ascii="Times New Roman" w:hAnsi="Times New Roman" w:cs="Times New Roman"/>
            <w:noProof/>
            <w:sz w:val="22"/>
            <w:szCs w:val="22"/>
          </w:rPr>
          <w:t>10</w:t>
        </w:r>
        <w:r w:rsidRPr="00EE431F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AD40BA" w:rsidRDefault="00AD40BA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E92"/>
    <w:rsid w:val="00001211"/>
    <w:rsid w:val="00001AFD"/>
    <w:rsid w:val="00025BBB"/>
    <w:rsid w:val="000347AD"/>
    <w:rsid w:val="000473E0"/>
    <w:rsid w:val="00053691"/>
    <w:rsid w:val="00077C95"/>
    <w:rsid w:val="000B6CCD"/>
    <w:rsid w:val="000C0D73"/>
    <w:rsid w:val="000C66F7"/>
    <w:rsid w:val="000D6877"/>
    <w:rsid w:val="000E3F53"/>
    <w:rsid w:val="00100093"/>
    <w:rsid w:val="00121E92"/>
    <w:rsid w:val="0014121D"/>
    <w:rsid w:val="00146C8D"/>
    <w:rsid w:val="00146EDC"/>
    <w:rsid w:val="0015263E"/>
    <w:rsid w:val="00152C9D"/>
    <w:rsid w:val="00156A5A"/>
    <w:rsid w:val="00157554"/>
    <w:rsid w:val="001766E3"/>
    <w:rsid w:val="00191285"/>
    <w:rsid w:val="00195CFD"/>
    <w:rsid w:val="001C555C"/>
    <w:rsid w:val="001C613C"/>
    <w:rsid w:val="001F5ECB"/>
    <w:rsid w:val="00202FCD"/>
    <w:rsid w:val="00205639"/>
    <w:rsid w:val="0022421F"/>
    <w:rsid w:val="00230431"/>
    <w:rsid w:val="00235814"/>
    <w:rsid w:val="002636D5"/>
    <w:rsid w:val="00265A15"/>
    <w:rsid w:val="002C0B50"/>
    <w:rsid w:val="002C27E6"/>
    <w:rsid w:val="002C779F"/>
    <w:rsid w:val="002D3DCC"/>
    <w:rsid w:val="00314C1B"/>
    <w:rsid w:val="00321FDE"/>
    <w:rsid w:val="0032710E"/>
    <w:rsid w:val="0033350B"/>
    <w:rsid w:val="003403B1"/>
    <w:rsid w:val="0036054E"/>
    <w:rsid w:val="00366B6A"/>
    <w:rsid w:val="003A6362"/>
    <w:rsid w:val="003B241D"/>
    <w:rsid w:val="003F6F61"/>
    <w:rsid w:val="00407B80"/>
    <w:rsid w:val="00421EBF"/>
    <w:rsid w:val="00444F69"/>
    <w:rsid w:val="004475D8"/>
    <w:rsid w:val="004524F3"/>
    <w:rsid w:val="00453CDC"/>
    <w:rsid w:val="0047202E"/>
    <w:rsid w:val="00476765"/>
    <w:rsid w:val="004A2F0D"/>
    <w:rsid w:val="004B66A9"/>
    <w:rsid w:val="0050732A"/>
    <w:rsid w:val="00564810"/>
    <w:rsid w:val="00565696"/>
    <w:rsid w:val="00590769"/>
    <w:rsid w:val="00617656"/>
    <w:rsid w:val="00621DE3"/>
    <w:rsid w:val="006273B3"/>
    <w:rsid w:val="006447B5"/>
    <w:rsid w:val="00645BF7"/>
    <w:rsid w:val="00657E0A"/>
    <w:rsid w:val="006671DD"/>
    <w:rsid w:val="00676AC5"/>
    <w:rsid w:val="006B732C"/>
    <w:rsid w:val="006D092C"/>
    <w:rsid w:val="006E1EEC"/>
    <w:rsid w:val="006E4F7C"/>
    <w:rsid w:val="006F62A3"/>
    <w:rsid w:val="0070004D"/>
    <w:rsid w:val="007047F2"/>
    <w:rsid w:val="007227D5"/>
    <w:rsid w:val="007228D9"/>
    <w:rsid w:val="00733D05"/>
    <w:rsid w:val="00745B41"/>
    <w:rsid w:val="007475DD"/>
    <w:rsid w:val="0075193D"/>
    <w:rsid w:val="007525BF"/>
    <w:rsid w:val="0075348F"/>
    <w:rsid w:val="00765886"/>
    <w:rsid w:val="00773AED"/>
    <w:rsid w:val="0079141D"/>
    <w:rsid w:val="007926E1"/>
    <w:rsid w:val="007A64ED"/>
    <w:rsid w:val="007D3E0B"/>
    <w:rsid w:val="007E1E11"/>
    <w:rsid w:val="008114A8"/>
    <w:rsid w:val="00836E74"/>
    <w:rsid w:val="008507F3"/>
    <w:rsid w:val="00853AAA"/>
    <w:rsid w:val="00854495"/>
    <w:rsid w:val="0085788D"/>
    <w:rsid w:val="0088242F"/>
    <w:rsid w:val="008866F5"/>
    <w:rsid w:val="00892C05"/>
    <w:rsid w:val="008A1838"/>
    <w:rsid w:val="008D5B1C"/>
    <w:rsid w:val="00905A16"/>
    <w:rsid w:val="00914E9A"/>
    <w:rsid w:val="00915273"/>
    <w:rsid w:val="00917EA7"/>
    <w:rsid w:val="00923E88"/>
    <w:rsid w:val="00951537"/>
    <w:rsid w:val="00952908"/>
    <w:rsid w:val="00960EEC"/>
    <w:rsid w:val="0096405E"/>
    <w:rsid w:val="00976B2C"/>
    <w:rsid w:val="00981EF8"/>
    <w:rsid w:val="009861E2"/>
    <w:rsid w:val="009B11CD"/>
    <w:rsid w:val="009B4CB2"/>
    <w:rsid w:val="009C39B6"/>
    <w:rsid w:val="009D4115"/>
    <w:rsid w:val="009E550E"/>
    <w:rsid w:val="009E65AF"/>
    <w:rsid w:val="00A214FC"/>
    <w:rsid w:val="00A22B90"/>
    <w:rsid w:val="00A23D66"/>
    <w:rsid w:val="00A305EF"/>
    <w:rsid w:val="00A34720"/>
    <w:rsid w:val="00A43C87"/>
    <w:rsid w:val="00A53397"/>
    <w:rsid w:val="00A542FF"/>
    <w:rsid w:val="00A57671"/>
    <w:rsid w:val="00A624A6"/>
    <w:rsid w:val="00AB167C"/>
    <w:rsid w:val="00AB65B0"/>
    <w:rsid w:val="00AD40BA"/>
    <w:rsid w:val="00AE1AE2"/>
    <w:rsid w:val="00AE68E4"/>
    <w:rsid w:val="00B10426"/>
    <w:rsid w:val="00B15BE4"/>
    <w:rsid w:val="00B17E5C"/>
    <w:rsid w:val="00B2412B"/>
    <w:rsid w:val="00B30D78"/>
    <w:rsid w:val="00B35FCD"/>
    <w:rsid w:val="00B46074"/>
    <w:rsid w:val="00B51049"/>
    <w:rsid w:val="00B56656"/>
    <w:rsid w:val="00B63DB5"/>
    <w:rsid w:val="00B80ED8"/>
    <w:rsid w:val="00B844E8"/>
    <w:rsid w:val="00B84EB8"/>
    <w:rsid w:val="00BA4C67"/>
    <w:rsid w:val="00BA7F91"/>
    <w:rsid w:val="00BB18D0"/>
    <w:rsid w:val="00BC35EA"/>
    <w:rsid w:val="00BC5826"/>
    <w:rsid w:val="00BC6251"/>
    <w:rsid w:val="00C010AB"/>
    <w:rsid w:val="00C072A8"/>
    <w:rsid w:val="00C342D4"/>
    <w:rsid w:val="00C60E38"/>
    <w:rsid w:val="00C833A8"/>
    <w:rsid w:val="00C86179"/>
    <w:rsid w:val="00C926E1"/>
    <w:rsid w:val="00C958E4"/>
    <w:rsid w:val="00CA06F4"/>
    <w:rsid w:val="00CA642F"/>
    <w:rsid w:val="00CA754B"/>
    <w:rsid w:val="00CB6834"/>
    <w:rsid w:val="00CB6BE2"/>
    <w:rsid w:val="00CF3916"/>
    <w:rsid w:val="00D167E1"/>
    <w:rsid w:val="00D338C3"/>
    <w:rsid w:val="00D44C7E"/>
    <w:rsid w:val="00D47EB8"/>
    <w:rsid w:val="00D524B8"/>
    <w:rsid w:val="00D55D3E"/>
    <w:rsid w:val="00D56BC6"/>
    <w:rsid w:val="00D95497"/>
    <w:rsid w:val="00DA757A"/>
    <w:rsid w:val="00DB3BD5"/>
    <w:rsid w:val="00DC0EE9"/>
    <w:rsid w:val="00DC3E92"/>
    <w:rsid w:val="00DD5BB6"/>
    <w:rsid w:val="00DE26C2"/>
    <w:rsid w:val="00E010FB"/>
    <w:rsid w:val="00E322A5"/>
    <w:rsid w:val="00E41268"/>
    <w:rsid w:val="00E41628"/>
    <w:rsid w:val="00E42DCB"/>
    <w:rsid w:val="00E53A6F"/>
    <w:rsid w:val="00E64237"/>
    <w:rsid w:val="00E67B2A"/>
    <w:rsid w:val="00E76E1D"/>
    <w:rsid w:val="00E8434F"/>
    <w:rsid w:val="00EA041F"/>
    <w:rsid w:val="00EA658D"/>
    <w:rsid w:val="00ED7493"/>
    <w:rsid w:val="00EE0850"/>
    <w:rsid w:val="00EE431F"/>
    <w:rsid w:val="00EF3CE2"/>
    <w:rsid w:val="00F013C1"/>
    <w:rsid w:val="00F15328"/>
    <w:rsid w:val="00F17BE8"/>
    <w:rsid w:val="00F32AD5"/>
    <w:rsid w:val="00F357AA"/>
    <w:rsid w:val="00F35F8B"/>
    <w:rsid w:val="00F47D79"/>
    <w:rsid w:val="00F73386"/>
    <w:rsid w:val="00F7565C"/>
    <w:rsid w:val="00F8521F"/>
    <w:rsid w:val="00FA22AF"/>
    <w:rsid w:val="00FD27EB"/>
    <w:rsid w:val="00FD38F3"/>
    <w:rsid w:val="00FE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96"/>
  </w:style>
  <w:style w:type="paragraph" w:styleId="1">
    <w:name w:val="heading 1"/>
    <w:basedOn w:val="a"/>
    <w:next w:val="a"/>
    <w:link w:val="10"/>
    <w:uiPriority w:val="9"/>
    <w:qFormat/>
    <w:rsid w:val="0056569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5696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69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696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696"/>
    <w:pPr>
      <w:spacing w:after="0"/>
      <w:jc w:val="left"/>
      <w:outlineLvl w:val="4"/>
    </w:pPr>
    <w:rPr>
      <w:smallCaps/>
      <w:color w:val="393939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696"/>
    <w:pPr>
      <w:spacing w:after="0"/>
      <w:jc w:val="left"/>
      <w:outlineLvl w:val="5"/>
    </w:pPr>
    <w:rPr>
      <w:smallCaps/>
      <w:color w:val="4D4D4D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696"/>
    <w:pPr>
      <w:spacing w:after="0"/>
      <w:jc w:val="left"/>
      <w:outlineLvl w:val="6"/>
    </w:pPr>
    <w:rPr>
      <w:b/>
      <w:bCs/>
      <w:smallCaps/>
      <w:color w:val="4D4D4D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696"/>
    <w:pPr>
      <w:spacing w:after="0"/>
      <w:jc w:val="left"/>
      <w:outlineLvl w:val="7"/>
    </w:pPr>
    <w:rPr>
      <w:b/>
      <w:bCs/>
      <w:i/>
      <w:iCs/>
      <w:smallCaps/>
      <w:color w:val="393939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696"/>
    <w:pPr>
      <w:spacing w:after="0"/>
      <w:jc w:val="left"/>
      <w:outlineLvl w:val="8"/>
    </w:pPr>
    <w:rPr>
      <w:b/>
      <w:bCs/>
      <w:i/>
      <w:iCs/>
      <w:smallCaps/>
      <w:color w:val="26262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696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5696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65696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65696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65696"/>
    <w:rPr>
      <w:smallCaps/>
      <w:color w:val="393939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65696"/>
    <w:rPr>
      <w:smallCaps/>
      <w:color w:val="4D4D4D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65696"/>
    <w:rPr>
      <w:b/>
      <w:bCs/>
      <w:smallCaps/>
      <w:color w:val="4D4D4D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65696"/>
    <w:rPr>
      <w:b/>
      <w:bCs/>
      <w:i/>
      <w:iCs/>
      <w:smallCaps/>
      <w:color w:val="393939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65696"/>
    <w:rPr>
      <w:b/>
      <w:bCs/>
      <w:i/>
      <w:iCs/>
      <w:smallCaps/>
      <w:color w:val="262626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565696"/>
    <w:rPr>
      <w:b/>
      <w:bCs/>
      <w:caps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65696"/>
    <w:pPr>
      <w:pBdr>
        <w:top w:val="single" w:sz="8" w:space="1" w:color="4D4D4D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5696"/>
    <w:rPr>
      <w:smallCaps/>
      <w:color w:val="262626" w:themeColor="text1" w:themeTint="D9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5696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565696"/>
    <w:rPr>
      <w:rFonts w:asciiTheme="majorHAnsi" w:eastAsiaTheme="majorEastAsia" w:hAnsiTheme="majorHAnsi" w:cstheme="majorBidi"/>
    </w:rPr>
  </w:style>
  <w:style w:type="character" w:styleId="a8">
    <w:name w:val="Strong"/>
    <w:uiPriority w:val="22"/>
    <w:qFormat/>
    <w:rsid w:val="00565696"/>
    <w:rPr>
      <w:b/>
      <w:bCs/>
      <w:color w:val="4D4D4D" w:themeColor="accent6"/>
    </w:rPr>
  </w:style>
  <w:style w:type="character" w:styleId="a9">
    <w:name w:val="Emphasis"/>
    <w:uiPriority w:val="20"/>
    <w:qFormat/>
    <w:rsid w:val="00565696"/>
    <w:rPr>
      <w:b/>
      <w:bCs/>
      <w:i/>
      <w:iCs/>
      <w:spacing w:val="10"/>
    </w:rPr>
  </w:style>
  <w:style w:type="paragraph" w:styleId="aa">
    <w:name w:val="No Spacing"/>
    <w:uiPriority w:val="1"/>
    <w:qFormat/>
    <w:rsid w:val="0056569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569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569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6569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565696"/>
    <w:pPr>
      <w:pBdr>
        <w:top w:val="single" w:sz="8" w:space="1" w:color="4D4D4D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565696"/>
    <w:rPr>
      <w:b/>
      <w:bCs/>
      <w:i/>
      <w:iCs/>
    </w:rPr>
  </w:style>
  <w:style w:type="character" w:styleId="ae">
    <w:name w:val="Subtle Emphasis"/>
    <w:uiPriority w:val="19"/>
    <w:qFormat/>
    <w:rsid w:val="00565696"/>
    <w:rPr>
      <w:i/>
      <w:iCs/>
    </w:rPr>
  </w:style>
  <w:style w:type="character" w:styleId="af">
    <w:name w:val="Intense Emphasis"/>
    <w:uiPriority w:val="21"/>
    <w:qFormat/>
    <w:rsid w:val="00565696"/>
    <w:rPr>
      <w:b/>
      <w:bCs/>
      <w:i/>
      <w:iCs/>
      <w:color w:val="4D4D4D" w:themeColor="accent6"/>
      <w:spacing w:val="10"/>
    </w:rPr>
  </w:style>
  <w:style w:type="character" w:styleId="af0">
    <w:name w:val="Subtle Reference"/>
    <w:uiPriority w:val="31"/>
    <w:qFormat/>
    <w:rsid w:val="00565696"/>
    <w:rPr>
      <w:b/>
      <w:bCs/>
    </w:rPr>
  </w:style>
  <w:style w:type="character" w:styleId="af1">
    <w:name w:val="Intense Reference"/>
    <w:uiPriority w:val="32"/>
    <w:qFormat/>
    <w:rsid w:val="00565696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56569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565696"/>
    <w:pPr>
      <w:outlineLvl w:val="9"/>
    </w:pPr>
  </w:style>
  <w:style w:type="paragraph" w:customStyle="1" w:styleId="Default">
    <w:name w:val="Default"/>
    <w:rsid w:val="00121E92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2CharChar">
    <w:name w:val="Char Char2 Знак Знак Char Char Знак Знак Знак"/>
    <w:basedOn w:val="a"/>
    <w:rsid w:val="0085788D"/>
    <w:pPr>
      <w:spacing w:after="0" w:line="240" w:lineRule="auto"/>
      <w:jc w:val="left"/>
    </w:pPr>
    <w:rPr>
      <w:rFonts w:ascii="Verdana" w:eastAsia="Times New Roman" w:hAnsi="Verdana" w:cs="Verdana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66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71DD"/>
    <w:rPr>
      <w:rFonts w:ascii="Segoe UI" w:hAnsi="Segoe UI" w:cs="Segoe UI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4B66A9"/>
  </w:style>
  <w:style w:type="paragraph" w:styleId="af8">
    <w:name w:val="footer"/>
    <w:basedOn w:val="a"/>
    <w:link w:val="af9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B66A9"/>
  </w:style>
  <w:style w:type="character" w:styleId="afa">
    <w:name w:val="Hyperlink"/>
    <w:basedOn w:val="a0"/>
    <w:uiPriority w:val="99"/>
    <w:unhideWhenUsed/>
    <w:rsid w:val="00905A16"/>
    <w:rPr>
      <w:color w:val="5F5F5F" w:themeColor="hyperlink"/>
      <w:u w:val="single"/>
    </w:rPr>
  </w:style>
  <w:style w:type="paragraph" w:customStyle="1" w:styleId="23">
    <w:name w:val="Знак Знак2 Знак"/>
    <w:basedOn w:val="a"/>
    <w:rsid w:val="00836E74"/>
    <w:pPr>
      <w:spacing w:after="0" w:line="240" w:lineRule="auto"/>
      <w:jc w:val="left"/>
    </w:pPr>
    <w:rPr>
      <w:rFonts w:ascii="Verdana" w:eastAsia="Times New Roman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96"/>
  </w:style>
  <w:style w:type="paragraph" w:styleId="1">
    <w:name w:val="heading 1"/>
    <w:basedOn w:val="a"/>
    <w:next w:val="a"/>
    <w:link w:val="10"/>
    <w:uiPriority w:val="9"/>
    <w:qFormat/>
    <w:rsid w:val="0056569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5696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69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696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696"/>
    <w:pPr>
      <w:spacing w:after="0"/>
      <w:jc w:val="left"/>
      <w:outlineLvl w:val="4"/>
    </w:pPr>
    <w:rPr>
      <w:smallCaps/>
      <w:color w:val="393939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696"/>
    <w:pPr>
      <w:spacing w:after="0"/>
      <w:jc w:val="left"/>
      <w:outlineLvl w:val="5"/>
    </w:pPr>
    <w:rPr>
      <w:smallCaps/>
      <w:color w:val="4D4D4D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696"/>
    <w:pPr>
      <w:spacing w:after="0"/>
      <w:jc w:val="left"/>
      <w:outlineLvl w:val="6"/>
    </w:pPr>
    <w:rPr>
      <w:b/>
      <w:bCs/>
      <w:smallCaps/>
      <w:color w:val="4D4D4D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696"/>
    <w:pPr>
      <w:spacing w:after="0"/>
      <w:jc w:val="left"/>
      <w:outlineLvl w:val="7"/>
    </w:pPr>
    <w:rPr>
      <w:b/>
      <w:bCs/>
      <w:i/>
      <w:iCs/>
      <w:smallCaps/>
      <w:color w:val="393939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696"/>
    <w:pPr>
      <w:spacing w:after="0"/>
      <w:jc w:val="left"/>
      <w:outlineLvl w:val="8"/>
    </w:pPr>
    <w:rPr>
      <w:b/>
      <w:bCs/>
      <w:i/>
      <w:iCs/>
      <w:smallCaps/>
      <w:color w:val="26262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696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5696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65696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65696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65696"/>
    <w:rPr>
      <w:smallCaps/>
      <w:color w:val="393939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65696"/>
    <w:rPr>
      <w:smallCaps/>
      <w:color w:val="4D4D4D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65696"/>
    <w:rPr>
      <w:b/>
      <w:bCs/>
      <w:smallCaps/>
      <w:color w:val="4D4D4D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65696"/>
    <w:rPr>
      <w:b/>
      <w:bCs/>
      <w:i/>
      <w:iCs/>
      <w:smallCaps/>
      <w:color w:val="393939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65696"/>
    <w:rPr>
      <w:b/>
      <w:bCs/>
      <w:i/>
      <w:iCs/>
      <w:smallCaps/>
      <w:color w:val="262626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565696"/>
    <w:rPr>
      <w:b/>
      <w:bCs/>
      <w:caps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65696"/>
    <w:pPr>
      <w:pBdr>
        <w:top w:val="single" w:sz="8" w:space="1" w:color="4D4D4D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5696"/>
    <w:rPr>
      <w:smallCaps/>
      <w:color w:val="262626" w:themeColor="text1" w:themeTint="D9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5696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565696"/>
    <w:rPr>
      <w:rFonts w:asciiTheme="majorHAnsi" w:eastAsiaTheme="majorEastAsia" w:hAnsiTheme="majorHAnsi" w:cstheme="majorBidi"/>
    </w:rPr>
  </w:style>
  <w:style w:type="character" w:styleId="a8">
    <w:name w:val="Strong"/>
    <w:uiPriority w:val="22"/>
    <w:qFormat/>
    <w:rsid w:val="00565696"/>
    <w:rPr>
      <w:b/>
      <w:bCs/>
      <w:color w:val="4D4D4D" w:themeColor="accent6"/>
    </w:rPr>
  </w:style>
  <w:style w:type="character" w:styleId="a9">
    <w:name w:val="Emphasis"/>
    <w:uiPriority w:val="20"/>
    <w:qFormat/>
    <w:rsid w:val="00565696"/>
    <w:rPr>
      <w:b/>
      <w:bCs/>
      <w:i/>
      <w:iCs/>
      <w:spacing w:val="10"/>
    </w:rPr>
  </w:style>
  <w:style w:type="paragraph" w:styleId="aa">
    <w:name w:val="No Spacing"/>
    <w:uiPriority w:val="1"/>
    <w:qFormat/>
    <w:rsid w:val="0056569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569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569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6569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565696"/>
    <w:pPr>
      <w:pBdr>
        <w:top w:val="single" w:sz="8" w:space="1" w:color="4D4D4D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565696"/>
    <w:rPr>
      <w:b/>
      <w:bCs/>
      <w:i/>
      <w:iCs/>
    </w:rPr>
  </w:style>
  <w:style w:type="character" w:styleId="ae">
    <w:name w:val="Subtle Emphasis"/>
    <w:uiPriority w:val="19"/>
    <w:qFormat/>
    <w:rsid w:val="00565696"/>
    <w:rPr>
      <w:i/>
      <w:iCs/>
    </w:rPr>
  </w:style>
  <w:style w:type="character" w:styleId="af">
    <w:name w:val="Intense Emphasis"/>
    <w:uiPriority w:val="21"/>
    <w:qFormat/>
    <w:rsid w:val="00565696"/>
    <w:rPr>
      <w:b/>
      <w:bCs/>
      <w:i/>
      <w:iCs/>
      <w:color w:val="4D4D4D" w:themeColor="accent6"/>
      <w:spacing w:val="10"/>
    </w:rPr>
  </w:style>
  <w:style w:type="character" w:styleId="af0">
    <w:name w:val="Subtle Reference"/>
    <w:uiPriority w:val="31"/>
    <w:qFormat/>
    <w:rsid w:val="00565696"/>
    <w:rPr>
      <w:b/>
      <w:bCs/>
    </w:rPr>
  </w:style>
  <w:style w:type="character" w:styleId="af1">
    <w:name w:val="Intense Reference"/>
    <w:uiPriority w:val="32"/>
    <w:qFormat/>
    <w:rsid w:val="00565696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56569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565696"/>
    <w:pPr>
      <w:outlineLvl w:val="9"/>
    </w:pPr>
  </w:style>
  <w:style w:type="paragraph" w:customStyle="1" w:styleId="Default">
    <w:name w:val="Default"/>
    <w:rsid w:val="00121E92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2CharChar">
    <w:name w:val="Char Char2 Знак Знак Char Char Знак Знак Знак"/>
    <w:basedOn w:val="a"/>
    <w:rsid w:val="0085788D"/>
    <w:pPr>
      <w:spacing w:after="0" w:line="240" w:lineRule="auto"/>
      <w:jc w:val="left"/>
    </w:pPr>
    <w:rPr>
      <w:rFonts w:ascii="Verdana" w:eastAsia="Times New Roman" w:hAnsi="Verdana" w:cs="Verdana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66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71DD"/>
    <w:rPr>
      <w:rFonts w:ascii="Segoe UI" w:hAnsi="Segoe UI" w:cs="Segoe UI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4B66A9"/>
  </w:style>
  <w:style w:type="paragraph" w:styleId="af8">
    <w:name w:val="footer"/>
    <w:basedOn w:val="a"/>
    <w:link w:val="af9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B66A9"/>
  </w:style>
  <w:style w:type="character" w:styleId="afa">
    <w:name w:val="Hyperlink"/>
    <w:basedOn w:val="a0"/>
    <w:uiPriority w:val="99"/>
    <w:unhideWhenUsed/>
    <w:rsid w:val="00905A16"/>
    <w:rPr>
      <w:color w:val="5F5F5F" w:themeColor="hyperlink"/>
      <w:u w:val="single"/>
    </w:rPr>
  </w:style>
  <w:style w:type="paragraph" w:customStyle="1" w:styleId="23">
    <w:name w:val="Знак Знак2 Знак"/>
    <w:basedOn w:val="a"/>
    <w:rsid w:val="00836E74"/>
    <w:pPr>
      <w:spacing w:after="0" w:line="240" w:lineRule="auto"/>
      <w:jc w:val="left"/>
    </w:pPr>
    <w:rPr>
      <w:rFonts w:ascii="Verdana" w:eastAsia="Times New Roman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0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Denysova@ukrstat.gov.ua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2.xls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1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98B48-D84C-4430-9069-ED31A73E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10</Pages>
  <Words>9574</Words>
  <Characters>5458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V.Petrunjok</dc:creator>
  <cp:keywords/>
  <dc:description/>
  <cp:lastModifiedBy>Admin</cp:lastModifiedBy>
  <cp:revision>147</cp:revision>
  <cp:lastPrinted>2018-05-14T11:46:00Z</cp:lastPrinted>
  <dcterms:created xsi:type="dcterms:W3CDTF">2014-07-17T06:48:00Z</dcterms:created>
  <dcterms:modified xsi:type="dcterms:W3CDTF">2020-06-02T11:45:00Z</dcterms:modified>
</cp:coreProperties>
</file>