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92" w:rsidRPr="001F5ECB" w:rsidRDefault="008E5501" w:rsidP="00121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ПІДСУМКОВИЙ</w:t>
      </w:r>
      <w:r w:rsidR="00121E92" w:rsidRPr="00121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ЗВІТ З ЯКОСТІ РЕЗУЛЬТАТІВ </w:t>
      </w:r>
    </w:p>
    <w:p w:rsidR="00217733" w:rsidRDefault="00121E92" w:rsidP="00121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1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ОБСТЕЖЕННЯ ПІДПРИЄМСТВ</w:t>
      </w:r>
      <w:r w:rsidR="001F5ECB" w:rsidRPr="001F5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5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 РІВНЯ ЗАРОБІТНОЇ ПЛАТИ ПРАЦІВНИКІВ ЗА СТАТТЮ</w:t>
      </w:r>
      <w:r w:rsidR="001F5ECB" w:rsidRPr="001F5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ВІКОМ, ОСВІТОЮ ТА</w:t>
      </w:r>
    </w:p>
    <w:p w:rsidR="00121E92" w:rsidRPr="001F5ECB" w:rsidRDefault="001F5ECB" w:rsidP="00121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5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ПРОФЕСІЙНИМИ ГРУПАМИ</w:t>
      </w:r>
      <w:r w:rsidR="00121E92" w:rsidRPr="00121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21E92" w:rsidRDefault="00995ED4" w:rsidP="00121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201</w:t>
      </w:r>
      <w:r w:rsidRPr="00995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121E92" w:rsidRPr="00121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році </w:t>
      </w:r>
    </w:p>
    <w:p w:rsidR="00121E92" w:rsidRPr="00121E92" w:rsidRDefault="00121E92" w:rsidP="00121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1E92" w:rsidRDefault="00121E92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E92">
        <w:rPr>
          <w:rFonts w:ascii="Times New Roman" w:hAnsi="Times New Roman" w:cs="Times New Roman"/>
          <w:color w:val="000000"/>
          <w:sz w:val="28"/>
          <w:szCs w:val="28"/>
        </w:rPr>
        <w:t xml:space="preserve">Метою складання </w:t>
      </w:r>
      <w:r w:rsidR="00DE2289">
        <w:rPr>
          <w:rFonts w:ascii="Times New Roman" w:hAnsi="Times New Roman" w:cs="Times New Roman"/>
          <w:color w:val="000000"/>
          <w:sz w:val="28"/>
          <w:szCs w:val="28"/>
        </w:rPr>
        <w:t>підсумкового</w:t>
      </w:r>
      <w:r w:rsidRPr="00121E92">
        <w:rPr>
          <w:rFonts w:ascii="Times New Roman" w:hAnsi="Times New Roman" w:cs="Times New Roman"/>
          <w:color w:val="000000"/>
          <w:sz w:val="28"/>
          <w:szCs w:val="28"/>
        </w:rPr>
        <w:t xml:space="preserve"> звіту з якості є інформування користувачів щодо критеріїв та індикаторів якості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статистичної інформації результатів вибіркового обстеження підприємств щодо рівня заробітної плати працівників за статтю, віком, освітою та професійними групами</w:t>
      </w:r>
      <w:r w:rsidR="000F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7946" w:rsidRPr="000F7946">
        <w:rPr>
          <w:rFonts w:ascii="Times New Roman" w:hAnsi="Times New Roman" w:cs="Times New Roman"/>
          <w:color w:val="000000"/>
          <w:sz w:val="28"/>
          <w:szCs w:val="28"/>
        </w:rPr>
        <w:t>(далі – ОЗПП)</w:t>
      </w:r>
      <w:r w:rsidR="004B66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E92" w:rsidRDefault="000F7946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F7946">
        <w:rPr>
          <w:rFonts w:ascii="Times New Roman" w:hAnsi="Times New Roman" w:cs="Times New Roman"/>
          <w:color w:val="000000"/>
          <w:sz w:val="28"/>
          <w:szCs w:val="28"/>
        </w:rPr>
        <w:t>віт містить інформацію стосовно таких критеріїв якості:  відповідність/</w:t>
      </w:r>
      <w:proofErr w:type="spellStart"/>
      <w:r w:rsidRPr="000F7946">
        <w:rPr>
          <w:rFonts w:ascii="Times New Roman" w:hAnsi="Times New Roman" w:cs="Times New Roman"/>
          <w:color w:val="000000"/>
          <w:sz w:val="28"/>
          <w:szCs w:val="28"/>
        </w:rPr>
        <w:t>релевантність</w:t>
      </w:r>
      <w:proofErr w:type="spellEnd"/>
      <w:r w:rsidRPr="000F7946">
        <w:rPr>
          <w:rFonts w:ascii="Times New Roman" w:hAnsi="Times New Roman" w:cs="Times New Roman"/>
          <w:color w:val="000000"/>
          <w:sz w:val="28"/>
          <w:szCs w:val="28"/>
        </w:rPr>
        <w:t>, точність/надійність, своєчасність та пунктуальність, доступність та зрозумілість/ясність, послідовність/узгодженість та зіставність/порівнянність.</w:t>
      </w:r>
    </w:p>
    <w:p w:rsidR="005440D7" w:rsidRDefault="005440D7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0D7">
        <w:rPr>
          <w:rFonts w:ascii="Times New Roman" w:hAnsi="Times New Roman" w:cs="Times New Roman"/>
          <w:color w:val="000000"/>
          <w:sz w:val="28"/>
          <w:szCs w:val="28"/>
        </w:rPr>
        <w:t xml:space="preserve">Рівень задоволення потреб користувачів в інформації за підсумками </w:t>
      </w:r>
      <w:r w:rsidRPr="000F7946">
        <w:rPr>
          <w:rFonts w:ascii="Times New Roman" w:hAnsi="Times New Roman" w:cs="Times New Roman"/>
          <w:color w:val="000000"/>
          <w:sz w:val="28"/>
          <w:szCs w:val="28"/>
        </w:rPr>
        <w:t>ОЗПП</w:t>
      </w:r>
      <w:r w:rsidRPr="005440D7">
        <w:rPr>
          <w:rFonts w:ascii="Times New Roman" w:hAnsi="Times New Roman" w:cs="Times New Roman"/>
          <w:color w:val="000000"/>
          <w:sz w:val="28"/>
          <w:szCs w:val="28"/>
        </w:rPr>
        <w:t xml:space="preserve"> вивчався за допомогою анкетного опитування, проведеного у І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5440D7">
        <w:rPr>
          <w:rFonts w:ascii="Times New Roman" w:hAnsi="Times New Roman" w:cs="Times New Roman"/>
          <w:color w:val="000000"/>
          <w:sz w:val="28"/>
          <w:szCs w:val="28"/>
        </w:rPr>
        <w:t xml:space="preserve"> кварталі 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40D7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оку.</w:t>
      </w:r>
      <w:r w:rsidRPr="005440D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Результати анкетного опитування використано у цьому звіті, а також розміщено на офіційному веб-сайті Держстату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52A7">
        <w:rPr>
          <w:rFonts w:ascii="Times New Roman" w:hAnsi="Times New Roman" w:cs="Times New Roman"/>
          <w:color w:val="000000"/>
          <w:sz w:val="28"/>
          <w:szCs w:val="28"/>
        </w:rPr>
        <w:t>(http://ukrstat.gov.ua/anketa/2018/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2A7">
        <w:rPr>
          <w:rFonts w:ascii="Times New Roman" w:hAnsi="Times New Roman" w:cs="Times New Roman"/>
          <w:color w:val="000000"/>
          <w:sz w:val="28"/>
          <w:szCs w:val="28"/>
        </w:rPr>
        <w:t>povidom</w:t>
      </w:r>
      <w:proofErr w:type="spellEnd"/>
      <w:r w:rsidRPr="00E552A7">
        <w:rPr>
          <w:rFonts w:ascii="Times New Roman" w:hAnsi="Times New Roman" w:cs="Times New Roman"/>
          <w:color w:val="000000"/>
          <w:sz w:val="28"/>
          <w:szCs w:val="28"/>
        </w:rPr>
        <w:t>/pov_rzp_pg.htm).</w:t>
      </w:r>
    </w:p>
    <w:p w:rsidR="001766E3" w:rsidRDefault="001766E3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Контакти для отримання додаткової </w:t>
      </w:r>
      <w:r w:rsidR="00B46074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нформації</w:t>
      </w:r>
      <w:r w:rsidR="00B46074">
        <w:rPr>
          <w:rFonts w:ascii="Times New Roman" w:hAnsi="Times New Roman" w:cs="Times New Roman"/>
          <w:color w:val="000000"/>
          <w:sz w:val="28"/>
          <w:szCs w:val="28"/>
        </w:rPr>
        <w:t xml:space="preserve"> щодо методологічного забезпечення та результатів ОЗПП такі:</w:t>
      </w:r>
    </w:p>
    <w:p w:rsidR="00244841" w:rsidRDefault="00244841" w:rsidP="00995E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6715"/>
      </w:tblGrid>
      <w:tr w:rsidR="00071529" w:rsidRPr="00071529" w:rsidTr="008F4302">
        <w:tc>
          <w:tcPr>
            <w:tcW w:w="298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uk-UA"/>
              </w:rPr>
            </w:pPr>
            <w:r w:rsidRPr="000715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Департамент статистики праці</w:t>
            </w:r>
          </w:p>
        </w:tc>
      </w:tr>
      <w:tr w:rsidR="00071529" w:rsidRPr="00071529" w:rsidTr="008F4302">
        <w:tc>
          <w:tcPr>
            <w:tcW w:w="29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1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1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Телефони</w:t>
            </w:r>
          </w:p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1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Факс</w:t>
            </w:r>
          </w:p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1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Електронна пошта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smartTag w:uri="urn:schemas-microsoft-com:office:smarttags" w:element="metricconverter">
              <w:smartTagPr>
                <w:attr w:name="ProductID" w:val="01123, м"/>
              </w:smartTagPr>
              <w:r w:rsidRPr="0007152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01123, м</w:t>
              </w:r>
            </w:smartTag>
            <w:r w:rsidRPr="00071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.Київ, МСП, вул. Шота Руставелі, 3</w:t>
            </w:r>
          </w:p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1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(044) 287-30-11, 235-00-82</w:t>
            </w:r>
          </w:p>
          <w:p w:rsidR="00071529" w:rsidRPr="00071529" w:rsidRDefault="00071529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1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(044) 234-21-32</w:t>
            </w:r>
          </w:p>
          <w:p w:rsidR="00071529" w:rsidRPr="00071529" w:rsidRDefault="000F7946" w:rsidP="000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hyperlink r:id="rId7" w:history="1">
              <w:r w:rsidR="00071529" w:rsidRPr="0007152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T.Bochkareva@ukrstat.gov.ua</w:t>
              </w:r>
            </w:hyperlink>
          </w:p>
        </w:tc>
      </w:tr>
    </w:tbl>
    <w:p w:rsidR="00F008A2" w:rsidRDefault="00F008A2" w:rsidP="003531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31C5" w:rsidRDefault="003531C5" w:rsidP="0027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6352">
        <w:rPr>
          <w:rFonts w:ascii="Times New Roman" w:hAnsi="Times New Roman" w:cs="Times New Roman"/>
          <w:b/>
          <w:color w:val="000000"/>
          <w:sz w:val="28"/>
          <w:szCs w:val="28"/>
        </w:rPr>
        <w:t>Основні харак</w:t>
      </w:r>
      <w:r w:rsidR="002759C2">
        <w:rPr>
          <w:rFonts w:ascii="Times New Roman" w:hAnsi="Times New Roman" w:cs="Times New Roman"/>
          <w:b/>
          <w:color w:val="000000"/>
          <w:sz w:val="28"/>
          <w:szCs w:val="28"/>
        </w:rPr>
        <w:t>теристики обстеження</w:t>
      </w:r>
    </w:p>
    <w:p w:rsidR="00F008A2" w:rsidRPr="00FE6352" w:rsidRDefault="00F008A2" w:rsidP="00F0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6013"/>
      </w:tblGrid>
      <w:tr w:rsidR="00F008A2" w:rsidRPr="00F008A2" w:rsidTr="008F4302">
        <w:trPr>
          <w:trHeight w:val="775"/>
          <w:jc w:val="center"/>
        </w:trPr>
        <w:tc>
          <w:tcPr>
            <w:tcW w:w="3480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Генеральна сукупність</w:t>
            </w:r>
          </w:p>
        </w:tc>
        <w:tc>
          <w:tcPr>
            <w:tcW w:w="6013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юридичні особи та відокремлені підрозділи юридичних осіб (далі – респонденти) із середньою кількістю найманих працівників 10 і більше осіб </w:t>
            </w:r>
          </w:p>
        </w:tc>
      </w:tr>
      <w:tr w:rsidR="00F008A2" w:rsidRPr="00F008A2" w:rsidTr="008F4302">
        <w:trPr>
          <w:trHeight w:val="300"/>
          <w:jc w:val="center"/>
        </w:trPr>
        <w:tc>
          <w:tcPr>
            <w:tcW w:w="3480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Географічне охоплення </w:t>
            </w:r>
          </w:p>
        </w:tc>
        <w:tc>
          <w:tcPr>
            <w:tcW w:w="6013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усі регіони України, крім тимчасово окупованої території АР Крим, м. Севастополя та частини тимчасово окупованих територій у Донецькій та Луганській областях </w:t>
            </w:r>
          </w:p>
        </w:tc>
      </w:tr>
      <w:tr w:rsidR="00F008A2" w:rsidRPr="00F008A2" w:rsidTr="008F4302">
        <w:trPr>
          <w:trHeight w:val="514"/>
          <w:jc w:val="center"/>
        </w:trPr>
        <w:tc>
          <w:tcPr>
            <w:tcW w:w="3480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Охоплення за видами економічної діяльності</w:t>
            </w:r>
          </w:p>
        </w:tc>
        <w:tc>
          <w:tcPr>
            <w:tcW w:w="6013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усі види економічної діяльності, за винятком секцій T і U</w:t>
            </w:r>
          </w:p>
        </w:tc>
      </w:tr>
      <w:tr w:rsidR="00F008A2" w:rsidRPr="00F008A2" w:rsidTr="008F4302">
        <w:trPr>
          <w:trHeight w:val="1683"/>
          <w:jc w:val="center"/>
        </w:trPr>
        <w:tc>
          <w:tcPr>
            <w:tcW w:w="3480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державного статистичного спостереження</w:t>
            </w:r>
          </w:p>
        </w:tc>
        <w:tc>
          <w:tcPr>
            <w:tcW w:w="6013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1)  респонденти із середньою кількістю найманих працівників &gt; 249 осіб обстежуються на суцільній основі;</w:t>
            </w:r>
          </w:p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2)  респонденти із середньою кількістю найманих працівників від 10 до 249 осіб обстежуються з використанням вибіркового методу;</w:t>
            </w:r>
          </w:p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працівники респондентів-учасників також обстежуються з використанням вибіркового методу</w:t>
            </w:r>
          </w:p>
        </w:tc>
      </w:tr>
      <w:tr w:rsidR="00F008A2" w:rsidRPr="00F008A2" w:rsidTr="008F4302">
        <w:trPr>
          <w:trHeight w:val="461"/>
          <w:jc w:val="center"/>
        </w:trPr>
        <w:tc>
          <w:tcPr>
            <w:tcW w:w="3480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Вид державного статистичного спостереження (за ступенем охоплення одиниць) </w:t>
            </w:r>
          </w:p>
        </w:tc>
        <w:tc>
          <w:tcPr>
            <w:tcW w:w="6013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несуцільне вибіркове </w:t>
            </w:r>
          </w:p>
        </w:tc>
      </w:tr>
      <w:tr w:rsidR="00F008A2" w:rsidRPr="00F008A2" w:rsidTr="008F4302">
        <w:trPr>
          <w:trHeight w:val="685"/>
          <w:jc w:val="center"/>
        </w:trPr>
        <w:tc>
          <w:tcPr>
            <w:tcW w:w="3480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Одиниця державного статистичного спостереження </w:t>
            </w:r>
          </w:p>
        </w:tc>
        <w:tc>
          <w:tcPr>
            <w:tcW w:w="6013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місцева одиниця (підприємство або його частина, розташована у географічно визначеному місці та залежна тільки від одного підприємства)</w:t>
            </w:r>
          </w:p>
        </w:tc>
      </w:tr>
      <w:tr w:rsidR="00F008A2" w:rsidRPr="00F008A2" w:rsidTr="008F4302">
        <w:trPr>
          <w:trHeight w:val="1191"/>
          <w:jc w:val="center"/>
        </w:trPr>
        <w:tc>
          <w:tcPr>
            <w:tcW w:w="3480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Рівні та розрізи оприлюднення результатів </w:t>
            </w:r>
          </w:p>
        </w:tc>
        <w:tc>
          <w:tcPr>
            <w:tcW w:w="6013" w:type="dxa"/>
            <w:shd w:val="clear" w:color="auto" w:fill="auto"/>
            <w:hideMark/>
          </w:tcPr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національний рівень (Україна в цілому);</w:t>
            </w:r>
          </w:p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регіональний рівень (за регіонами України);</w:t>
            </w:r>
          </w:p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види економічної діяльності (у розрізі секцій за національним класифікатором ДК 009:2010 "Класифікація видів економічної діяльності");</w:t>
            </w:r>
          </w:p>
          <w:p w:rsidR="00F008A2" w:rsidRPr="00F008A2" w:rsidRDefault="00F008A2" w:rsidP="00F0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0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професії та професійні групи (у розрізі розділів, підрозділів та класів за національним класифікатором ДК 003:2010 "Класифікатор професій")</w:t>
            </w:r>
          </w:p>
        </w:tc>
      </w:tr>
    </w:tbl>
    <w:p w:rsidR="003531C5" w:rsidRDefault="003531C5" w:rsidP="0096405E">
      <w:pPr>
        <w:pStyle w:val="Default"/>
        <w:jc w:val="center"/>
        <w:rPr>
          <w:b/>
          <w:bCs/>
          <w:sz w:val="28"/>
          <w:szCs w:val="28"/>
        </w:rPr>
      </w:pPr>
    </w:p>
    <w:p w:rsidR="000B32FA" w:rsidRDefault="002759C2" w:rsidP="0027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="000B32FA" w:rsidRPr="000B32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ПІДСУМКИ АНАЛІЗУ ЯКОСТІ</w:t>
      </w:r>
    </w:p>
    <w:p w:rsidR="000B32FA" w:rsidRPr="000B32FA" w:rsidRDefault="000B32FA" w:rsidP="000B3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FA" w:rsidRPr="000B32FA" w:rsidRDefault="000B32FA" w:rsidP="0027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32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Відповідність/Релевантність</w:t>
      </w:r>
    </w:p>
    <w:p w:rsidR="0096405E" w:rsidRDefault="0096405E" w:rsidP="0096405E">
      <w:pPr>
        <w:pStyle w:val="Default"/>
        <w:jc w:val="center"/>
        <w:rPr>
          <w:sz w:val="28"/>
          <w:szCs w:val="28"/>
        </w:rPr>
      </w:pPr>
    </w:p>
    <w:p w:rsidR="0096405E" w:rsidRDefault="0096405E" w:rsidP="00244841">
      <w:pPr>
        <w:pStyle w:val="Default"/>
        <w:ind w:firstLine="567"/>
        <w:jc w:val="both"/>
        <w:rPr>
          <w:i/>
          <w:sz w:val="28"/>
          <w:szCs w:val="28"/>
        </w:rPr>
      </w:pPr>
      <w:r w:rsidRPr="0096405E">
        <w:rPr>
          <w:i/>
          <w:sz w:val="28"/>
          <w:szCs w:val="28"/>
        </w:rPr>
        <w:t xml:space="preserve">Відповідність/Релевантність – статистичні дані повинні задовольняти поточні та потенційні потреби користувачів. </w:t>
      </w:r>
    </w:p>
    <w:p w:rsidR="00D55D3E" w:rsidRPr="00F24DD7" w:rsidRDefault="0096405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4DD7">
        <w:rPr>
          <w:rFonts w:ascii="Times New Roman" w:hAnsi="Times New Roman" w:cs="Times New Roman"/>
          <w:i/>
          <w:color w:val="000000"/>
          <w:sz w:val="28"/>
          <w:szCs w:val="28"/>
        </w:rPr>
        <w:t>Відповідність/Релевантність показує ступінь задоволення поточних та потенційних потреб користувачів у статистичних даних. Вона свідчить про те, чи всі необхідні статистичні дані розроблені та якою мірою поняття, що використовуються (визначення, класифікації та ін.), відображають потреби користувачів.</w:t>
      </w:r>
    </w:p>
    <w:p w:rsidR="00D55D3E" w:rsidRDefault="00C926E1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Головною метою ОЗПП </w:t>
      </w:r>
      <w:r w:rsidRPr="00C926E1">
        <w:rPr>
          <w:rFonts w:ascii="Times New Roman" w:hAnsi="Times New Roman" w:cs="Times New Roman"/>
          <w:color w:val="000000"/>
          <w:sz w:val="28"/>
          <w:szCs w:val="28"/>
        </w:rPr>
        <w:t xml:space="preserve">є отримання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надійної </w:t>
      </w:r>
      <w:r w:rsidRPr="00C926E1">
        <w:rPr>
          <w:rFonts w:ascii="Times New Roman" w:hAnsi="Times New Roman" w:cs="Times New Roman"/>
          <w:color w:val="000000"/>
          <w:sz w:val="28"/>
          <w:szCs w:val="28"/>
        </w:rPr>
        <w:t>інформації щодо рівня заробітної плати працівників за статтю, віком, освітою та професійними групами.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Збір та обробка даних проводиться один раз на чотири роки.</w:t>
      </w:r>
    </w:p>
    <w:p w:rsidR="00E8434F" w:rsidRDefault="00E8434F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Інформація, отримана в рамках ОЗПП, використовується для аналізу відповідних явищ. </w:t>
      </w:r>
      <w:r w:rsidRPr="00E8434F">
        <w:rPr>
          <w:rFonts w:ascii="Times New Roman" w:hAnsi="Times New Roman" w:cs="Times New Roman"/>
          <w:color w:val="000000"/>
          <w:sz w:val="28"/>
          <w:szCs w:val="28"/>
        </w:rPr>
        <w:t>За результатами спостережень розраховуються абсолютні та відносні (у розрахунку на одного працівника) показники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Статистичну інформацію за результатами ОЗПП споживають внутрішні та зовнішні користувачі.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>Внутрішніми користувачами є: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структурні підрозділи, які займаються питаннями галузевої статистики;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структурний підрозділ, який займається веденням реєстру статистичних одиниць.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Зовнішніми користувачами є: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>- органи державної влади</w:t>
      </w: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та місцевого самоврядування;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науково-дослідні інститути;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профспілки та громадські організації;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>- міжнародні організації;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засоби масової інформації;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фізичні особи;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навчальні заклади;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- бібліотеки; </w:t>
      </w:r>
    </w:p>
    <w:p w:rsidR="005A6144" w:rsidRPr="005A6144" w:rsidRDefault="005A6144" w:rsidP="005A6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A6144">
        <w:rPr>
          <w:rFonts w:ascii="Times New Roman" w:eastAsiaTheme="minorHAnsi" w:hAnsi="Times New Roman" w:cs="Times New Roman"/>
          <w:color w:val="000000"/>
          <w:sz w:val="28"/>
          <w:szCs w:val="28"/>
        </w:rPr>
        <w:t>- підприємства.</w:t>
      </w:r>
    </w:p>
    <w:p w:rsidR="00A04142" w:rsidRDefault="006F425B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D19">
        <w:rPr>
          <w:rFonts w:ascii="Times New Roman" w:hAnsi="Times New Roman" w:cs="Times New Roman"/>
          <w:color w:val="000000"/>
          <w:sz w:val="28"/>
          <w:szCs w:val="28"/>
        </w:rPr>
        <w:t>Згідно з результатами анкетного опитування</w:t>
      </w:r>
      <w:r w:rsidR="000A55E7" w:rsidRPr="00EE1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D19">
        <w:rPr>
          <w:rFonts w:ascii="Times New Roman" w:hAnsi="Times New Roman" w:cs="Times New Roman"/>
          <w:color w:val="000000"/>
          <w:sz w:val="28"/>
          <w:szCs w:val="28"/>
        </w:rPr>
        <w:t>користувачів статистичної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інформації про рівень задоволення їх потреб в інформації за підсумками ОЗПП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6B0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>% респондентів визначили оцінку критерію якості статистичної інформації "Відповідніс</w:t>
      </w:r>
      <w:r w:rsidR="007A5B1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 xml:space="preserve">ь/релевантність" відмінно, </w:t>
      </w:r>
      <w:r w:rsidR="00CB6B0F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 xml:space="preserve">% – добре, ще </w:t>
      </w:r>
      <w:r w:rsidR="00CB6B0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>% – задовільно. Крім цього</w:t>
      </w:r>
      <w:r w:rsidR="0028019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CB6B0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 xml:space="preserve">% опитаних користувачів було складно дати оцінку згідно </w:t>
      </w:r>
      <w:r w:rsidR="00280198">
        <w:rPr>
          <w:rFonts w:ascii="Times New Roman" w:hAnsi="Times New Roman" w:cs="Times New Roman"/>
          <w:color w:val="000000"/>
          <w:sz w:val="28"/>
          <w:szCs w:val="28"/>
        </w:rPr>
        <w:t>з цим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 xml:space="preserve"> критері</w:t>
      </w:r>
      <w:r w:rsidR="00280198">
        <w:rPr>
          <w:rFonts w:ascii="Times New Roman" w:hAnsi="Times New Roman" w:cs="Times New Roman"/>
          <w:color w:val="000000"/>
          <w:sz w:val="28"/>
          <w:szCs w:val="28"/>
        </w:rPr>
        <w:t>єм</w:t>
      </w:r>
      <w:r w:rsidR="000165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1395" w:rsidRDefault="00661395" w:rsidP="008E284E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395">
        <w:rPr>
          <w:rFonts w:ascii="Times New Roman" w:hAnsi="Times New Roman" w:cs="Times New Roman"/>
          <w:color w:val="000000"/>
          <w:sz w:val="28"/>
          <w:szCs w:val="28"/>
        </w:rPr>
        <w:t xml:space="preserve">12% користувачів вважають статистичну інформацію за підсумками обстеження основною, </w:t>
      </w:r>
      <w:r w:rsidR="008E284E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661395">
        <w:rPr>
          <w:rFonts w:ascii="Times New Roman" w:hAnsi="Times New Roman" w:cs="Times New Roman"/>
          <w:color w:val="000000"/>
          <w:sz w:val="28"/>
          <w:szCs w:val="28"/>
        </w:rPr>
        <w:t>% – важливою складовою, 4</w:t>
      </w:r>
      <w:r w:rsidR="008E284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61395">
        <w:rPr>
          <w:rFonts w:ascii="Times New Roman" w:hAnsi="Times New Roman" w:cs="Times New Roman"/>
          <w:color w:val="000000"/>
          <w:sz w:val="28"/>
          <w:szCs w:val="28"/>
        </w:rPr>
        <w:t xml:space="preserve">% – додатковою; </w:t>
      </w:r>
      <w:r w:rsidR="008E284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61395">
        <w:rPr>
          <w:rFonts w:ascii="Times New Roman" w:hAnsi="Times New Roman" w:cs="Times New Roman"/>
          <w:color w:val="000000"/>
          <w:sz w:val="28"/>
          <w:szCs w:val="28"/>
        </w:rPr>
        <w:t>% – не визначились.</w:t>
      </w:r>
    </w:p>
    <w:p w:rsidR="00130268" w:rsidRDefault="00130268" w:rsidP="0024484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цими </w:t>
      </w:r>
      <w:r w:rsidR="006E194F">
        <w:rPr>
          <w:sz w:val="28"/>
          <w:szCs w:val="28"/>
        </w:rPr>
        <w:t xml:space="preserve">результатами </w:t>
      </w:r>
      <w:r>
        <w:rPr>
          <w:sz w:val="28"/>
          <w:szCs w:val="28"/>
        </w:rPr>
        <w:t>узагальнена й оприлюднена інформація відповідає потребам основних користувачів</w:t>
      </w:r>
      <w:r w:rsidR="00B1325F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. </w:t>
      </w:r>
    </w:p>
    <w:p w:rsidR="009C39B6" w:rsidRDefault="009C39B6" w:rsidP="000B32FA">
      <w:pPr>
        <w:pStyle w:val="Default"/>
        <w:ind w:firstLine="720"/>
        <w:jc w:val="both"/>
        <w:rPr>
          <w:sz w:val="28"/>
          <w:szCs w:val="28"/>
        </w:rPr>
      </w:pPr>
    </w:p>
    <w:p w:rsidR="009C39B6" w:rsidRDefault="002D23B5" w:rsidP="00A7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5B4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9C39B6" w:rsidRPr="002D2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Точність/Надійність</w:t>
      </w:r>
    </w:p>
    <w:p w:rsidR="00B1325F" w:rsidRPr="002D23B5" w:rsidRDefault="00B1325F" w:rsidP="002D2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9B6" w:rsidRDefault="009C39B6" w:rsidP="00244841">
      <w:pPr>
        <w:pStyle w:val="Default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Точність/Надійність – статистичні дані повинні бути точними і достовірними. </w:t>
      </w:r>
    </w:p>
    <w:p w:rsidR="00217441" w:rsidRPr="00F24DD7" w:rsidRDefault="009C39B6" w:rsidP="00244841">
      <w:pPr>
        <w:pStyle w:val="Default"/>
        <w:ind w:firstLine="567"/>
        <w:jc w:val="both"/>
        <w:rPr>
          <w:i/>
          <w:sz w:val="28"/>
          <w:szCs w:val="28"/>
        </w:rPr>
      </w:pPr>
      <w:r w:rsidRPr="00F24DD7">
        <w:rPr>
          <w:i/>
          <w:sz w:val="28"/>
          <w:szCs w:val="28"/>
        </w:rPr>
        <w:t>Точність/Надійність показує ступінь близькості розрахованих оцінок показників до їх дійсних (точних) значень.</w:t>
      </w:r>
    </w:p>
    <w:p w:rsidR="00452C96" w:rsidRPr="00452C96" w:rsidRDefault="00452C96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C96">
        <w:rPr>
          <w:rFonts w:ascii="Times New Roman" w:hAnsi="Times New Roman" w:cs="Times New Roman"/>
          <w:color w:val="000000"/>
          <w:sz w:val="28"/>
          <w:szCs w:val="28"/>
        </w:rPr>
        <w:t>ОЗПП є вибірковим обстеженням, тому йому властиві невибіркові та вибіркові похибки. Головним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джерелом похибок вибірки є специфіка вибіркових обстежень, яка полягає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обстеженні лише спеціально відібраної частини генеральної сукупності, а також власне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дизайн вибірки. Основними джерелами невибіркових похибок є неповне охоплення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генеральної сукупності, відмов</w:t>
      </w:r>
      <w:r w:rsidR="000106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 xml:space="preserve"> респондентів від обстеження або від відповіді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окремі запитання, похибки вимірювання, похибки обробки даних обстеження, похибка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моделювання при оцінюванні показників тощо.</w:t>
      </w:r>
    </w:p>
    <w:p w:rsidR="00452C96" w:rsidRDefault="00452C96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96">
        <w:rPr>
          <w:rFonts w:ascii="Times New Roman" w:hAnsi="Times New Roman" w:cs="Times New Roman"/>
          <w:color w:val="000000"/>
          <w:sz w:val="28"/>
          <w:szCs w:val="28"/>
        </w:rPr>
        <w:t>Для підвищення рівня надійності та зменшення можливого негативного впливу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 xml:space="preserve">окремих джерел похибок на різних етапах </w:t>
      </w:r>
      <w:r>
        <w:rPr>
          <w:rFonts w:ascii="Times New Roman" w:hAnsi="Times New Roman" w:cs="Times New Roman"/>
          <w:color w:val="000000"/>
          <w:sz w:val="28"/>
          <w:szCs w:val="28"/>
        </w:rPr>
        <w:t>ОЗПП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 xml:space="preserve"> реалізується система різноманітних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заходів, серед яких: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контроль якості усіх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color w:val="000000"/>
          <w:sz w:val="28"/>
          <w:szCs w:val="28"/>
        </w:rPr>
        <w:t>етапів обробки даних, коригування статистичних ваг для зменшення впливу відмов респондентів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2C96">
        <w:rPr>
          <w:rFonts w:ascii="Times New Roman" w:hAnsi="Times New Roman" w:cs="Times New Roman"/>
          <w:sz w:val="28"/>
          <w:szCs w:val="28"/>
        </w:rPr>
        <w:t>обстеження тощо.</w:t>
      </w:r>
    </w:p>
    <w:p w:rsidR="00452C96" w:rsidRDefault="00452C96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C96" w:rsidRPr="00452C96" w:rsidRDefault="00452C96" w:rsidP="00712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96">
        <w:rPr>
          <w:rFonts w:ascii="Times New Roman" w:hAnsi="Times New Roman" w:cs="Times New Roman"/>
          <w:b/>
          <w:sz w:val="28"/>
          <w:szCs w:val="28"/>
        </w:rPr>
        <w:t>2.1</w:t>
      </w:r>
      <w:r w:rsidR="005B4E07">
        <w:rPr>
          <w:rFonts w:ascii="Times New Roman" w:hAnsi="Times New Roman" w:cs="Times New Roman"/>
          <w:b/>
          <w:sz w:val="28"/>
          <w:szCs w:val="28"/>
        </w:rPr>
        <w:t>.</w:t>
      </w:r>
      <w:r w:rsidRPr="00452C96">
        <w:rPr>
          <w:rFonts w:ascii="Times New Roman" w:hAnsi="Times New Roman" w:cs="Times New Roman"/>
          <w:b/>
          <w:sz w:val="28"/>
          <w:szCs w:val="28"/>
        </w:rPr>
        <w:t xml:space="preserve"> Вибіркові похибки</w:t>
      </w:r>
    </w:p>
    <w:p w:rsidR="003232F7" w:rsidRDefault="003232F7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9B6" w:rsidRDefault="009C39B6" w:rsidP="0024484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характеристики надійності оцінок показників використовується набір категорій</w:t>
      </w:r>
      <w:r w:rsidR="005440D7">
        <w:rPr>
          <w:sz w:val="28"/>
          <w:szCs w:val="28"/>
        </w:rPr>
        <w:t xml:space="preserve">, наведений </w:t>
      </w:r>
      <w:r w:rsidR="00D24390">
        <w:rPr>
          <w:sz w:val="28"/>
          <w:szCs w:val="28"/>
        </w:rPr>
        <w:t>в</w:t>
      </w:r>
      <w:r w:rsidR="005440D7">
        <w:rPr>
          <w:sz w:val="28"/>
          <w:szCs w:val="28"/>
        </w:rPr>
        <w:t xml:space="preserve"> таблиці 1.</w:t>
      </w:r>
    </w:p>
    <w:p w:rsidR="005440D7" w:rsidRDefault="005440D7" w:rsidP="00244841">
      <w:pPr>
        <w:pStyle w:val="Default"/>
        <w:ind w:firstLine="567"/>
        <w:jc w:val="both"/>
        <w:rPr>
          <w:sz w:val="28"/>
          <w:szCs w:val="28"/>
        </w:rPr>
      </w:pPr>
    </w:p>
    <w:p w:rsidR="005440D7" w:rsidRDefault="005440D7" w:rsidP="00244841">
      <w:pPr>
        <w:pStyle w:val="Default"/>
        <w:ind w:firstLine="567"/>
        <w:jc w:val="both"/>
        <w:rPr>
          <w:sz w:val="28"/>
          <w:szCs w:val="28"/>
        </w:rPr>
      </w:pPr>
    </w:p>
    <w:p w:rsidR="005440D7" w:rsidRDefault="005440D7" w:rsidP="00244841">
      <w:pPr>
        <w:pStyle w:val="Default"/>
        <w:ind w:firstLine="567"/>
        <w:jc w:val="both"/>
        <w:rPr>
          <w:sz w:val="28"/>
          <w:szCs w:val="28"/>
        </w:rPr>
      </w:pPr>
    </w:p>
    <w:p w:rsidR="005440D7" w:rsidRDefault="005440D7" w:rsidP="00244841">
      <w:pPr>
        <w:pStyle w:val="Default"/>
        <w:ind w:firstLine="567"/>
        <w:jc w:val="both"/>
        <w:rPr>
          <w:sz w:val="28"/>
          <w:szCs w:val="28"/>
        </w:rPr>
      </w:pPr>
    </w:p>
    <w:p w:rsidR="005440D7" w:rsidRDefault="005440D7" w:rsidP="00244841">
      <w:pPr>
        <w:pStyle w:val="Default"/>
        <w:ind w:firstLine="567"/>
        <w:jc w:val="both"/>
        <w:rPr>
          <w:sz w:val="28"/>
          <w:szCs w:val="28"/>
        </w:rPr>
      </w:pPr>
    </w:p>
    <w:p w:rsidR="005440D7" w:rsidRDefault="005440D7" w:rsidP="00244841">
      <w:pPr>
        <w:pStyle w:val="Default"/>
        <w:ind w:firstLine="567"/>
        <w:jc w:val="both"/>
        <w:rPr>
          <w:sz w:val="28"/>
          <w:szCs w:val="28"/>
        </w:rPr>
      </w:pPr>
    </w:p>
    <w:p w:rsidR="006F62A3" w:rsidRDefault="009C39B6" w:rsidP="009C3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C39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Таблиця 1 </w:t>
      </w:r>
    </w:p>
    <w:p w:rsidR="009C39B6" w:rsidRDefault="006F62A3" w:rsidP="006F6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Категорії рівнів надійності показників 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9C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ПП</w:t>
      </w:r>
    </w:p>
    <w:p w:rsidR="006F62A3" w:rsidRPr="009C39B6" w:rsidRDefault="006F62A3" w:rsidP="006F6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6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410"/>
        <w:gridCol w:w="5386"/>
      </w:tblGrid>
      <w:tr w:rsidR="006F62A3" w:rsidRPr="009C39B6" w:rsidTr="006A51FF">
        <w:trPr>
          <w:trHeight w:val="295"/>
          <w:jc w:val="center"/>
        </w:trPr>
        <w:tc>
          <w:tcPr>
            <w:tcW w:w="1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Категорія </w:t>
            </w:r>
          </w:p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надійності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Значення коефіцієнта варіації,%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Рівень надійності </w:t>
            </w:r>
          </w:p>
        </w:tc>
      </w:tr>
      <w:tr w:rsidR="006F62A3" w:rsidRPr="009C39B6" w:rsidTr="006A51FF">
        <w:trPr>
          <w:trHeight w:val="157"/>
          <w:jc w:val="center"/>
        </w:trPr>
        <w:tc>
          <w:tcPr>
            <w:tcW w:w="1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більше 5,0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високий </w:t>
            </w:r>
          </w:p>
        </w:tc>
      </w:tr>
      <w:tr w:rsidR="006F62A3" w:rsidRPr="009C39B6" w:rsidTr="006A51FF">
        <w:trPr>
          <w:trHeight w:val="157"/>
          <w:jc w:val="center"/>
        </w:trPr>
        <w:tc>
          <w:tcPr>
            <w:tcW w:w="1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від 5,1 до 10,0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достатній </w:t>
            </w:r>
          </w:p>
        </w:tc>
      </w:tr>
      <w:tr w:rsidR="006F62A3" w:rsidRPr="009C39B6" w:rsidTr="006A51FF">
        <w:trPr>
          <w:trHeight w:val="157"/>
          <w:jc w:val="center"/>
        </w:trPr>
        <w:tc>
          <w:tcPr>
            <w:tcW w:w="1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від 10,1 до 15,0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задовільний </w:t>
            </w:r>
          </w:p>
        </w:tc>
      </w:tr>
      <w:tr w:rsidR="006F62A3" w:rsidRPr="009C39B6" w:rsidTr="006A51FF">
        <w:trPr>
          <w:trHeight w:val="157"/>
          <w:jc w:val="center"/>
        </w:trPr>
        <w:tc>
          <w:tcPr>
            <w:tcW w:w="1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від 15,1 до 25,0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низький (придатні лише для якісного аналізу) </w:t>
            </w:r>
          </w:p>
        </w:tc>
      </w:tr>
      <w:tr w:rsidR="006F62A3" w:rsidRPr="009C39B6" w:rsidTr="006A51FF">
        <w:trPr>
          <w:trHeight w:val="157"/>
          <w:jc w:val="center"/>
        </w:trPr>
        <w:tc>
          <w:tcPr>
            <w:tcW w:w="1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більше 25,0 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2A3" w:rsidRPr="009C39B6" w:rsidRDefault="006F62A3" w:rsidP="009C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39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незадовільний (малопридатні для аналізу) </w:t>
            </w:r>
          </w:p>
        </w:tc>
      </w:tr>
    </w:tbl>
    <w:p w:rsidR="009C39B6" w:rsidRDefault="009C39B6" w:rsidP="009C39B6">
      <w:pPr>
        <w:pStyle w:val="Default"/>
        <w:ind w:firstLine="720"/>
        <w:jc w:val="both"/>
        <w:rPr>
          <w:sz w:val="28"/>
          <w:szCs w:val="28"/>
        </w:rPr>
      </w:pPr>
    </w:p>
    <w:p w:rsidR="00853AAA" w:rsidRDefault="00444714" w:rsidP="0024484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ОЗПП у 201</w:t>
      </w:r>
      <w:r w:rsidR="006A51FF">
        <w:rPr>
          <w:sz w:val="28"/>
          <w:szCs w:val="28"/>
        </w:rPr>
        <w:t>6</w:t>
      </w:r>
      <w:r>
        <w:rPr>
          <w:sz w:val="28"/>
          <w:szCs w:val="28"/>
        </w:rPr>
        <w:t xml:space="preserve"> році розраховані такі характеристики надійності, як коефіцієнт варіації, гранична та стандартна похибк</w:t>
      </w:r>
      <w:r w:rsidR="006A51FF">
        <w:rPr>
          <w:sz w:val="28"/>
          <w:szCs w:val="28"/>
        </w:rPr>
        <w:t>и</w:t>
      </w:r>
      <w:r>
        <w:rPr>
          <w:sz w:val="28"/>
          <w:szCs w:val="28"/>
        </w:rPr>
        <w:t xml:space="preserve"> вибірки для оцінок значень показника </w:t>
      </w:r>
      <w:r w:rsidR="006A51FF">
        <w:rPr>
          <w:sz w:val="28"/>
          <w:szCs w:val="28"/>
        </w:rPr>
        <w:t>"</w:t>
      </w:r>
      <w:r w:rsidRPr="00444714">
        <w:rPr>
          <w:sz w:val="28"/>
          <w:szCs w:val="28"/>
        </w:rPr>
        <w:t>Середньомісячна заробітна плата працівників</w:t>
      </w:r>
      <w:r w:rsidR="006A51FF">
        <w:rPr>
          <w:sz w:val="28"/>
          <w:szCs w:val="28"/>
        </w:rPr>
        <w:t>"</w:t>
      </w:r>
      <w:r w:rsidR="00360EAA">
        <w:rPr>
          <w:sz w:val="28"/>
          <w:szCs w:val="28"/>
        </w:rPr>
        <w:t xml:space="preserve"> за професіями та професійними групами і статтю. Результати розрахунків х</w:t>
      </w:r>
      <w:r w:rsidR="00F47D79">
        <w:rPr>
          <w:sz w:val="28"/>
          <w:szCs w:val="28"/>
        </w:rPr>
        <w:t xml:space="preserve">арактеристик надійності </w:t>
      </w:r>
      <w:r w:rsidR="00360EAA">
        <w:rPr>
          <w:sz w:val="28"/>
          <w:szCs w:val="28"/>
        </w:rPr>
        <w:t>оцінок зазначеного показника</w:t>
      </w:r>
      <w:r w:rsidR="00853AAA">
        <w:rPr>
          <w:sz w:val="28"/>
          <w:szCs w:val="28"/>
        </w:rPr>
        <w:t xml:space="preserve"> наведені </w:t>
      </w:r>
      <w:r w:rsidR="00360EAA">
        <w:rPr>
          <w:sz w:val="28"/>
          <w:szCs w:val="28"/>
        </w:rPr>
        <w:t xml:space="preserve">далі </w:t>
      </w:r>
      <w:r w:rsidR="00010681">
        <w:rPr>
          <w:sz w:val="28"/>
          <w:szCs w:val="28"/>
        </w:rPr>
        <w:t>в</w:t>
      </w:r>
      <w:r w:rsidR="00853AAA">
        <w:rPr>
          <w:sz w:val="28"/>
          <w:szCs w:val="28"/>
        </w:rPr>
        <w:t xml:space="preserve"> табл</w:t>
      </w:r>
      <w:r w:rsidR="00360EAA">
        <w:rPr>
          <w:sz w:val="28"/>
          <w:szCs w:val="28"/>
        </w:rPr>
        <w:t>ицях</w:t>
      </w:r>
      <w:r w:rsidR="008F4302">
        <w:rPr>
          <w:sz w:val="28"/>
          <w:szCs w:val="28"/>
        </w:rPr>
        <w:t xml:space="preserve"> 2–</w:t>
      </w:r>
      <w:r w:rsidR="00853AAA">
        <w:rPr>
          <w:sz w:val="28"/>
          <w:szCs w:val="28"/>
        </w:rPr>
        <w:t xml:space="preserve">4 </w:t>
      </w:r>
      <w:r w:rsidR="008F4302">
        <w:rPr>
          <w:sz w:val="28"/>
          <w:szCs w:val="28"/>
        </w:rPr>
        <w:t>ць</w:t>
      </w:r>
      <w:r w:rsidR="00853AAA">
        <w:rPr>
          <w:sz w:val="28"/>
          <w:szCs w:val="28"/>
        </w:rPr>
        <w:t>ого звіту.</w:t>
      </w:r>
    </w:p>
    <w:p w:rsidR="000C66F7" w:rsidRDefault="00853AAA" w:rsidP="0024484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Основний зміст цих характеристик, порядок їх розрахунку з урахуванням дизайну вибірки та принципи використання наведено в </w:t>
      </w:r>
      <w:r w:rsidR="0022421F">
        <w:rPr>
          <w:sz w:val="28"/>
          <w:szCs w:val="28"/>
        </w:rPr>
        <w:t>Методологічних положеннях</w:t>
      </w:r>
      <w:r w:rsidR="007C04C3">
        <w:rPr>
          <w:sz w:val="28"/>
          <w:szCs w:val="28"/>
        </w:rPr>
        <w:t xml:space="preserve"> </w:t>
      </w:r>
      <w:r w:rsidR="007C04C3" w:rsidRPr="00E56CB5">
        <w:rPr>
          <w:sz w:val="28"/>
          <w:szCs w:val="28"/>
        </w:rPr>
        <w:t>з організації та проведення вибіркового обстеження щодо рівня заробітної плати працівників за статтю, віком</w:t>
      </w:r>
      <w:r w:rsidR="007C04C3" w:rsidRPr="007F1045">
        <w:rPr>
          <w:sz w:val="28"/>
          <w:szCs w:val="28"/>
        </w:rPr>
        <w:t>,</w:t>
      </w:r>
      <w:r w:rsidR="007C04C3">
        <w:rPr>
          <w:sz w:val="28"/>
          <w:szCs w:val="28"/>
        </w:rPr>
        <w:t xml:space="preserve"> освітою та професійними групами,</w:t>
      </w:r>
      <w:r w:rsidR="007C04C3" w:rsidRPr="007F1045">
        <w:rPr>
          <w:sz w:val="28"/>
          <w:szCs w:val="28"/>
        </w:rPr>
        <w:t xml:space="preserve"> затверджених наказом Держстату від 29.12.2012 № 553</w:t>
      </w:r>
      <w:r w:rsidR="007C04C3">
        <w:rPr>
          <w:sz w:val="28"/>
          <w:szCs w:val="28"/>
        </w:rPr>
        <w:t xml:space="preserve"> (зі змінами)</w:t>
      </w:r>
      <w:r w:rsidR="0022421F">
        <w:rPr>
          <w:sz w:val="28"/>
          <w:szCs w:val="28"/>
        </w:rPr>
        <w:t>.</w:t>
      </w:r>
    </w:p>
    <w:p w:rsidR="006A51FF" w:rsidRDefault="006A51FF" w:rsidP="006A51FF">
      <w:pPr>
        <w:pStyle w:val="Default"/>
        <w:ind w:firstLine="567"/>
        <w:jc w:val="both"/>
        <w:rPr>
          <w:sz w:val="28"/>
          <w:szCs w:val="28"/>
        </w:rPr>
      </w:pPr>
      <w:r w:rsidRPr="00BA4C67">
        <w:rPr>
          <w:sz w:val="28"/>
          <w:szCs w:val="28"/>
        </w:rPr>
        <w:t>Наведені дані свідчать, що отримані оцінки для більшості показників є</w:t>
      </w:r>
      <w:r w:rsidRPr="000C66F7">
        <w:rPr>
          <w:sz w:val="28"/>
          <w:szCs w:val="28"/>
        </w:rPr>
        <w:t xml:space="preserve"> достатньо надійними для національного рівня. Так</w:t>
      </w:r>
      <w:r>
        <w:rPr>
          <w:sz w:val="28"/>
          <w:szCs w:val="28"/>
        </w:rPr>
        <w:t>,</w:t>
      </w:r>
      <w:r w:rsidRPr="000C66F7">
        <w:rPr>
          <w:sz w:val="28"/>
          <w:szCs w:val="28"/>
        </w:rPr>
        <w:t xml:space="preserve"> коефіцієнт варіації для оцінки середньомісячної заробітної плати штатних працівників для рівня України </w:t>
      </w:r>
      <w:r>
        <w:rPr>
          <w:sz w:val="28"/>
          <w:szCs w:val="28"/>
        </w:rPr>
        <w:t>має високу точність (рівень надійності категорії "А"), тобто є суттєво нижчим за 5% (0,7</w:t>
      </w:r>
      <w:r w:rsidRPr="000C66F7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0C66F7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0C66F7">
        <w:rPr>
          <w:sz w:val="28"/>
          <w:szCs w:val="28"/>
        </w:rPr>
        <w:t xml:space="preserve">ля </w:t>
      </w:r>
      <w:r>
        <w:rPr>
          <w:sz w:val="28"/>
          <w:szCs w:val="28"/>
        </w:rPr>
        <w:t>більшості</w:t>
      </w:r>
      <w:r w:rsidRPr="000C66F7">
        <w:rPr>
          <w:sz w:val="28"/>
          <w:szCs w:val="28"/>
        </w:rPr>
        <w:t xml:space="preserve"> оцінок середньомісячної заробітної плати працівників за професійними групами коефіцієнти варіації не перевищують 5%. </w:t>
      </w:r>
    </w:p>
    <w:p w:rsidR="006A51FF" w:rsidRDefault="006A51FF" w:rsidP="006A51FF">
      <w:pPr>
        <w:pStyle w:val="Default"/>
        <w:ind w:firstLine="567"/>
        <w:jc w:val="both"/>
        <w:rPr>
          <w:sz w:val="28"/>
          <w:szCs w:val="28"/>
        </w:rPr>
      </w:pPr>
      <w:r w:rsidRPr="000C66F7">
        <w:rPr>
          <w:sz w:val="28"/>
          <w:szCs w:val="28"/>
        </w:rPr>
        <w:t xml:space="preserve">Величина граничної похибки вибірки для оцінки середньомісячної заробітної плати працівників для </w:t>
      </w:r>
      <w:r>
        <w:rPr>
          <w:sz w:val="28"/>
          <w:szCs w:val="28"/>
        </w:rPr>
        <w:t>рівня України становить 64 грн.</w:t>
      </w:r>
      <w:r w:rsidRPr="000C66F7">
        <w:rPr>
          <w:sz w:val="28"/>
          <w:szCs w:val="28"/>
        </w:rPr>
        <w:t xml:space="preserve"> Це означає, що з імовірністю 95</w:t>
      </w:r>
      <w:r>
        <w:rPr>
          <w:sz w:val="28"/>
          <w:szCs w:val="28"/>
        </w:rPr>
        <w:t>%</w:t>
      </w:r>
      <w:r w:rsidRPr="000C66F7">
        <w:rPr>
          <w:sz w:val="28"/>
          <w:szCs w:val="28"/>
        </w:rPr>
        <w:t xml:space="preserve"> величина середньомісячної заробітної плати працівників знаходиться у межах </w:t>
      </w:r>
      <w:r>
        <w:rPr>
          <w:sz w:val="28"/>
          <w:szCs w:val="28"/>
        </w:rPr>
        <w:t>4827</w:t>
      </w:r>
      <w:r w:rsidRPr="000C66F7">
        <w:rPr>
          <w:sz w:val="28"/>
          <w:szCs w:val="28"/>
        </w:rPr>
        <w:t xml:space="preserve"> грн ±</w:t>
      </w:r>
      <w:r>
        <w:rPr>
          <w:sz w:val="28"/>
          <w:szCs w:val="28"/>
        </w:rPr>
        <w:t xml:space="preserve"> 64</w:t>
      </w:r>
      <w:r w:rsidRPr="000C66F7">
        <w:rPr>
          <w:sz w:val="28"/>
          <w:szCs w:val="28"/>
        </w:rPr>
        <w:t xml:space="preserve"> грн, тобто в інтервалі </w:t>
      </w:r>
      <w:r>
        <w:rPr>
          <w:sz w:val="28"/>
          <w:szCs w:val="28"/>
        </w:rPr>
        <w:t>4763</w:t>
      </w:r>
      <w:r w:rsidRPr="000C66F7">
        <w:rPr>
          <w:sz w:val="28"/>
          <w:szCs w:val="28"/>
        </w:rPr>
        <w:t>–</w:t>
      </w:r>
      <w:r>
        <w:rPr>
          <w:sz w:val="28"/>
          <w:szCs w:val="28"/>
        </w:rPr>
        <w:t>4891</w:t>
      </w:r>
      <w:r w:rsidRPr="000C66F7">
        <w:rPr>
          <w:sz w:val="28"/>
          <w:szCs w:val="28"/>
        </w:rPr>
        <w:t xml:space="preserve"> грн.</w:t>
      </w: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D24390" w:rsidRDefault="00D24390" w:rsidP="006A51FF">
      <w:pPr>
        <w:pStyle w:val="Default"/>
        <w:ind w:firstLine="567"/>
        <w:jc w:val="both"/>
        <w:rPr>
          <w:sz w:val="28"/>
          <w:szCs w:val="28"/>
        </w:rPr>
      </w:pPr>
    </w:p>
    <w:p w:rsidR="00195CFD" w:rsidRDefault="00195CFD" w:rsidP="00156A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6A5A" w:rsidRPr="00156A5A" w:rsidRDefault="00156A5A" w:rsidP="00156A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Таблиця 2</w:t>
      </w:r>
      <w:r w:rsidRPr="00156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40F7" w:rsidRDefault="002340F7" w:rsidP="002340F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адійн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ість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цін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показника</w:t>
      </w:r>
    </w:p>
    <w:p w:rsidR="002340F7" w:rsidRDefault="002340F7" w:rsidP="0023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>Середньомісяч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заробітна плата працівників</w:t>
      </w:r>
    </w:p>
    <w:p w:rsidR="002340F7" w:rsidRPr="00156A5A" w:rsidRDefault="002340F7" w:rsidP="0023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на обстежених підприємствах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201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2340F7" w:rsidRPr="00C86179" w:rsidRDefault="002340F7" w:rsidP="002340F7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9436" w:type="dxa"/>
        <w:jc w:val="center"/>
        <w:tblLayout w:type="fixed"/>
        <w:tblLook w:val="0000" w:firstRow="0" w:lastRow="0" w:firstColumn="0" w:lastColumn="0" w:noHBand="0" w:noVBand="0"/>
      </w:tblPr>
      <w:tblGrid>
        <w:gridCol w:w="464"/>
        <w:gridCol w:w="2977"/>
        <w:gridCol w:w="1521"/>
        <w:gridCol w:w="1275"/>
        <w:gridCol w:w="1215"/>
        <w:gridCol w:w="992"/>
        <w:gridCol w:w="992"/>
      </w:tblGrid>
      <w:tr w:rsidR="002340F7" w:rsidRPr="00B51049" w:rsidTr="002340F7">
        <w:trPr>
          <w:trHeight w:val="255"/>
          <w:tblHeader/>
          <w:jc w:val="center"/>
        </w:trPr>
        <w:tc>
          <w:tcPr>
            <w:tcW w:w="3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1049">
              <w:rPr>
                <w:rFonts w:ascii="Times New Roman" w:hAnsi="Times New Roman" w:cs="Times New Roman"/>
              </w:rPr>
              <w:t>Нараховано в середньому працівнику</w:t>
            </w:r>
            <w:r w:rsidR="001B4246" w:rsidRPr="001B4246">
              <w:rPr>
                <w:rFonts w:ascii="Times New Roman" w:hAnsi="Times New Roman" w:cs="Times New Roman"/>
                <w:vertAlign w:val="superscript"/>
              </w:rPr>
              <w:t>1</w:t>
            </w:r>
            <w:r w:rsidRPr="00B51049">
              <w:rPr>
                <w:rFonts w:ascii="Times New Roman" w:hAnsi="Times New Roman" w:cs="Times New Roman"/>
              </w:rPr>
              <w:t>, грн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1049">
              <w:rPr>
                <w:rFonts w:ascii="Times New Roman" w:hAnsi="Times New Roman" w:cs="Times New Roman"/>
              </w:rPr>
              <w:t>Стандартна похибка вибірки (SE), грн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1049">
              <w:rPr>
                <w:rFonts w:ascii="Times New Roman" w:hAnsi="Times New Roman" w:cs="Times New Roman"/>
              </w:rPr>
              <w:t>Гранична похибка вибірки (МE), 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049">
              <w:rPr>
                <w:rFonts w:ascii="Times New Roman" w:hAnsi="Times New Roman" w:cs="Times New Roman"/>
              </w:rPr>
              <w:t>Коефі</w:t>
            </w:r>
            <w:r>
              <w:rPr>
                <w:rFonts w:ascii="Times New Roman" w:hAnsi="Times New Roman" w:cs="Times New Roman"/>
              </w:rPr>
              <w:t>-</w:t>
            </w:r>
            <w:r w:rsidRPr="00B51049">
              <w:rPr>
                <w:rFonts w:ascii="Times New Roman" w:hAnsi="Times New Roman" w:cs="Times New Roman"/>
              </w:rPr>
              <w:t>цієнт</w:t>
            </w:r>
            <w:proofErr w:type="spellEnd"/>
            <w:r w:rsidRPr="00B51049">
              <w:rPr>
                <w:rFonts w:ascii="Times New Roman" w:hAnsi="Times New Roman" w:cs="Times New Roman"/>
              </w:rPr>
              <w:t xml:space="preserve"> варіації (</w:t>
            </w:r>
            <w:r w:rsidRPr="00B51049">
              <w:rPr>
                <w:rFonts w:ascii="Times New Roman" w:hAnsi="Times New Roman" w:cs="Times New Roman"/>
                <w:lang w:val="en-US"/>
              </w:rPr>
              <w:t>CV</w:t>
            </w:r>
            <w:r w:rsidRPr="00B51049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Кате-</w:t>
            </w:r>
            <w:proofErr w:type="spellStart"/>
            <w:r>
              <w:rPr>
                <w:rFonts w:ascii="Times New Roman" w:hAnsi="Times New Roman" w:cs="Times New Roman"/>
              </w:rPr>
              <w:t>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надій-</w:t>
            </w:r>
            <w:proofErr w:type="spellStart"/>
            <w:r>
              <w:rPr>
                <w:rFonts w:ascii="Times New Roman" w:hAnsi="Times New Roman" w:cs="Times New Roman"/>
              </w:rPr>
              <w:t>ності</w:t>
            </w:r>
            <w:proofErr w:type="spellEnd"/>
          </w:p>
        </w:tc>
      </w:tr>
      <w:tr w:rsidR="002340F7" w:rsidRPr="00B51049" w:rsidTr="002340F7">
        <w:trPr>
          <w:trHeight w:val="427"/>
          <w:jc w:val="center"/>
        </w:trPr>
        <w:tc>
          <w:tcPr>
            <w:tcW w:w="34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1049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b/>
                <w:color w:val="000000"/>
              </w:rPr>
              <w:t>4827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51049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51049"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51049">
              <w:rPr>
                <w:rFonts w:ascii="Times New Roman" w:hAnsi="Times New Roman" w:cs="Times New Roman"/>
                <w:b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1 </w:t>
            </w:r>
          </w:p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Законодавці, вищі державні службовці, керівники, менеджери (управителі)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7593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11 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 xml:space="preserve">Законодавці, вищі державні службовці, вищі посадові особи громадських і </w:t>
            </w:r>
            <w:proofErr w:type="spellStart"/>
            <w:r w:rsidRPr="00B51049">
              <w:rPr>
                <w:rFonts w:ascii="Times New Roman" w:hAnsi="Times New Roman" w:cs="Times New Roman"/>
                <w:iCs/>
                <w:color w:val="000000"/>
              </w:rPr>
              <w:t>самоврядувальних</w:t>
            </w:r>
            <w:proofErr w:type="spellEnd"/>
            <w:r w:rsidRPr="00B51049">
              <w:rPr>
                <w:rFonts w:ascii="Times New Roman" w:hAnsi="Times New Roman" w:cs="Times New Roman"/>
                <w:iCs/>
                <w:color w:val="000000"/>
              </w:rPr>
              <w:t xml:space="preserve"> організацій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7665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12 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Керівники підприємств, установ та організацій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7719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13 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Керівники малих підприємств без апарату управління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6037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14 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Менеджери (управителі) підприємств, установ, організацій та їх підрозділів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6894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Професіонали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5537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21 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Професіонали в галузі фізичних, математичних та технічних наук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6867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22 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Професіонали в галузі наук про життя та медичних наук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4484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23 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Викладачі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4910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B51049">
              <w:rPr>
                <w:rFonts w:ascii="Times New Roman" w:hAnsi="Times New Roman" w:cs="Times New Roman"/>
                <w:color w:val="000000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421EBF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24 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Інші професіонали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5881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Фахівці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4552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31 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Технічні фахівці в галузі прикладних наук та техніки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5888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32 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Фахівці в галузі біології, агрономії та медицини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3327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B51049">
              <w:rPr>
                <w:rFonts w:ascii="Times New Roman" w:hAnsi="Times New Roman" w:cs="Times New Roman"/>
                <w:color w:val="000000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421EBF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33 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Фахівці в галузі освіти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3886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34 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Інші фахівці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5345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35 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Фахівці в галузі харчової та переробної промисловості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3694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Технічні службовці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3243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41 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Службовці, пов'язані з інформацією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3062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42 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Службовці, що обслуговують клієнтів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3436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5 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Працівники сфери торгівлі та послуг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2719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51 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Працівники, що надають персональні та захисні послуги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2597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52 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Моделі, продавці та демонстратори 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3327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lastRenderedPageBreak/>
              <w:t>53 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Працівники, що надають інші послуги юридичним та фізичним особам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4890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1356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6 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Кваліфіковані робітники сільського та лісового господарств, риборозведення та рибальства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3347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61 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Кваліфіковані сільськогосподарські робітники та рибалки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3347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7 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Кваліфіковані робітники з інструментом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4787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71 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Робітники з видобутку корисних копалин і на будівництві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4715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72 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Робітники металургійних та машинобудівних професій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5105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73 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Робітники в галузі точної механіки, ручних ремесел та друкування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3623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74 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Інші кваліфіковані робітники з інструментом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3492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8 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Робітники з обслуговування, експлуатації та контролювання</w:t>
            </w:r>
          </w:p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за роботою технологічного устаткування, складання устаткування та машин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4398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81 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Робітники, що обслуговують промислове устаткування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4347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82 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Робітники, що обслуговують машини, та складальники машин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4424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83 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Водії та робітники з обслуговування пересувної техніки та установок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4410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9 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bCs/>
                <w:iCs/>
                <w:color w:val="000000"/>
              </w:rPr>
              <w:t>Найпростіші професії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2545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91 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Найпростіші професії торгівлі та сфери послуг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2249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92 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Найпростіші професії в сільському господарстві</w:t>
            </w:r>
          </w:p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та подібних галузях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2135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2340F7" w:rsidRPr="00B51049" w:rsidTr="001E3909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93 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Найпростіші професії у видобувних галузях, будівництві, промисловості та на транспорті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3137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2340F7" w:rsidRPr="00B51049" w:rsidTr="001E3909">
        <w:trPr>
          <w:trHeight w:val="255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94 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Найпростіші професії, що</w:t>
            </w:r>
          </w:p>
          <w:p w:rsidR="002340F7" w:rsidRPr="00B51049" w:rsidRDefault="002340F7" w:rsidP="002340F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iCs/>
                <w:color w:val="000000"/>
              </w:rPr>
            </w:pPr>
            <w:r w:rsidRPr="00B51049">
              <w:rPr>
                <w:rFonts w:ascii="Times New Roman" w:hAnsi="Times New Roman" w:cs="Times New Roman"/>
                <w:iCs/>
                <w:color w:val="000000"/>
              </w:rPr>
              <w:t>є загальними для всіх галузей економіки 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3245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1049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B51049" w:rsidRDefault="002340F7" w:rsidP="00234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</w:tbl>
    <w:p w:rsidR="001B4246" w:rsidRPr="001B4246" w:rsidRDefault="001B4246" w:rsidP="001B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1B4246" w:rsidRPr="001B4246" w:rsidRDefault="001B4246" w:rsidP="001B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B42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uk-UA"/>
        </w:rPr>
        <w:t>1</w:t>
      </w:r>
      <w:r w:rsidRPr="001B424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Без урахування тимчасово окупованої території Автономної Республіки Крим, м. Севастополя та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частини</w:t>
      </w:r>
      <w:r w:rsidRPr="001B424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тимчасово окупованих територій у Донецькій та Луганській областях.</w:t>
      </w:r>
    </w:p>
    <w:p w:rsidR="005B4E07" w:rsidRPr="001B4246" w:rsidRDefault="005B4E07" w:rsidP="001B4246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2340F7" w:rsidRPr="00156A5A" w:rsidRDefault="002340F7" w:rsidP="002340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Таблиця 3</w:t>
      </w:r>
      <w:r w:rsidRPr="00156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40F7" w:rsidRDefault="002340F7" w:rsidP="002340F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адійн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ість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цін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показника</w:t>
      </w:r>
    </w:p>
    <w:p w:rsidR="002340F7" w:rsidRDefault="002340F7" w:rsidP="0023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>Середньомісяч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заробітна плата чоловіків</w:t>
      </w:r>
    </w:p>
    <w:p w:rsidR="002340F7" w:rsidRPr="00156A5A" w:rsidRDefault="002340F7" w:rsidP="0023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на обстежених підприємствах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201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2340F7" w:rsidRPr="00156A5A" w:rsidRDefault="002340F7" w:rsidP="002340F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464"/>
        <w:gridCol w:w="2977"/>
        <w:gridCol w:w="1521"/>
        <w:gridCol w:w="1317"/>
        <w:gridCol w:w="1276"/>
        <w:gridCol w:w="1092"/>
        <w:gridCol w:w="851"/>
      </w:tblGrid>
      <w:tr w:rsidR="002340F7" w:rsidRPr="004475D8" w:rsidTr="002340F7">
        <w:trPr>
          <w:trHeight w:val="255"/>
          <w:tblHeader/>
          <w:jc w:val="center"/>
        </w:trPr>
        <w:tc>
          <w:tcPr>
            <w:tcW w:w="3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7" w:rsidRPr="004475D8" w:rsidRDefault="002340F7" w:rsidP="0023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1049">
              <w:rPr>
                <w:rFonts w:ascii="Times New Roman" w:hAnsi="Times New Roman" w:cs="Times New Roman"/>
              </w:rPr>
              <w:t>Нараховано в середньому працівнику</w:t>
            </w:r>
            <w:r w:rsidR="001B4246" w:rsidRPr="001B4246">
              <w:rPr>
                <w:rFonts w:ascii="Times New Roman" w:hAnsi="Times New Roman" w:cs="Times New Roman"/>
                <w:vertAlign w:val="superscript"/>
              </w:rPr>
              <w:t>1</w:t>
            </w:r>
            <w:r w:rsidRPr="00B51049">
              <w:rPr>
                <w:rFonts w:ascii="Times New Roman" w:hAnsi="Times New Roman" w:cs="Times New Roman"/>
              </w:rPr>
              <w:t>, грн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1049">
              <w:rPr>
                <w:rFonts w:ascii="Times New Roman" w:hAnsi="Times New Roman" w:cs="Times New Roman"/>
              </w:rPr>
              <w:t>Стандартна похибка вибірки (SE), 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51049">
              <w:rPr>
                <w:rFonts w:ascii="Times New Roman" w:hAnsi="Times New Roman" w:cs="Times New Roman"/>
              </w:rPr>
              <w:t>Гранична похибка вибірки (МE), грн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049">
              <w:rPr>
                <w:rFonts w:ascii="Times New Roman" w:hAnsi="Times New Roman" w:cs="Times New Roman"/>
              </w:rPr>
              <w:t>Коефі</w:t>
            </w:r>
            <w:r>
              <w:rPr>
                <w:rFonts w:ascii="Times New Roman" w:hAnsi="Times New Roman" w:cs="Times New Roman"/>
              </w:rPr>
              <w:t>-</w:t>
            </w:r>
            <w:r w:rsidRPr="00B51049">
              <w:rPr>
                <w:rFonts w:ascii="Times New Roman" w:hAnsi="Times New Roman" w:cs="Times New Roman"/>
              </w:rPr>
              <w:t>цієнт</w:t>
            </w:r>
            <w:proofErr w:type="spellEnd"/>
            <w:r w:rsidRPr="00B51049">
              <w:rPr>
                <w:rFonts w:ascii="Times New Roman" w:hAnsi="Times New Roman" w:cs="Times New Roman"/>
              </w:rPr>
              <w:t xml:space="preserve"> варіації (</w:t>
            </w:r>
            <w:r w:rsidRPr="00B51049">
              <w:rPr>
                <w:rFonts w:ascii="Times New Roman" w:hAnsi="Times New Roman" w:cs="Times New Roman"/>
                <w:lang w:val="en-US"/>
              </w:rPr>
              <w:t>CV</w:t>
            </w:r>
            <w:r w:rsidRPr="00B51049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F7" w:rsidRPr="00B51049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Кате-</w:t>
            </w:r>
            <w:proofErr w:type="spellStart"/>
            <w:r>
              <w:rPr>
                <w:rFonts w:ascii="Times New Roman" w:hAnsi="Times New Roman" w:cs="Times New Roman"/>
              </w:rPr>
              <w:t>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надій-</w:t>
            </w:r>
            <w:proofErr w:type="spellStart"/>
            <w:r>
              <w:rPr>
                <w:rFonts w:ascii="Times New Roman" w:hAnsi="Times New Roman" w:cs="Times New Roman"/>
              </w:rPr>
              <w:t>ності</w:t>
            </w:r>
            <w:proofErr w:type="spellEnd"/>
          </w:p>
        </w:tc>
      </w:tr>
      <w:tr w:rsidR="002340F7" w:rsidRPr="004475D8" w:rsidTr="002340F7">
        <w:trPr>
          <w:trHeight w:val="341"/>
          <w:jc w:val="center"/>
        </w:trPr>
        <w:tc>
          <w:tcPr>
            <w:tcW w:w="34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Усього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</w:t>
            </w:r>
          </w:p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Законодавці, вищі державні службовці, керівники, менеджери (управителі)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8532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Законодавці, вищі державні службовці, вищі посадові особи громадських і </w:t>
            </w:r>
            <w:proofErr w:type="spellStart"/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самоврядувальних</w:t>
            </w:r>
            <w:proofErr w:type="spellEnd"/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організацій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7946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Керівники підприємств, установ та організацій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8742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Керівники малих підприємств без апарату управління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5805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exact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Менеджери (управителі) підприємств, установ, організацій та їх підрозділів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7432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Професіонали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6520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Професіонали в галузі фізичних, математичних та технічних наук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7498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Професіонали в галузі наук про життя та медичних наук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4688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Викладачі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5285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Інші професіонали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7439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Фахівці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5803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Технічні фахівці в галузі прикладних наук та техніки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6613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Фахівці в галузі біології, агрономії та медицини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3740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Фахівці в галузі освіти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4234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Інші фахівці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5771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35 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Фахівці в галузі харчової та переробної промисловості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Технічні службовці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3668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Службовці, пов'язані з інформацією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3380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Службовці, що обслуговують клієнтів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3920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Працівники сфери торгівлі та послуг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3281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1E3909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exact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Працівники, що надають персональні та захисні послуги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3087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1E3909">
        <w:trPr>
          <w:trHeight w:val="255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52 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Моделі, продавці та демонстратори 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4615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1E3909">
        <w:trPr>
          <w:trHeight w:val="255"/>
          <w:jc w:val="center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53 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Працівники, що надають інші послуги юридичним та фізичним особам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Кваліфіковані робітники сільського та лісового господарств, риборозведення та рибальства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3446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Кваліфіковані сільськогосподарські робітники та рибалки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3446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Кваліфіковані робітники з інструментом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5033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 з видобутку корисних копалин і на будівництві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4946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 металургійних та машинобудівних професій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5169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 в галузі точної механіки, ручних ремесел та друкування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3937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Інші кваліфіковані робітники з інструментом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Робітники з обслуговування, експлуатації та контролювання</w:t>
            </w:r>
          </w:p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 роботою технологічного устаткування, складання устаткування та машин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4582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Робітники, що обслуговують промислове устаткування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4658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Робітники, що обслуговують машини, та складальники машин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5022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Водії та робітники з обслуговування пересувної техніки та установок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4440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Найпростіші професії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2737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 торгівлі та сфери послуг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 в сільському господарстві</w:t>
            </w:r>
          </w:p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та подібних галузях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4475D8" w:rsidTr="001E3909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 у видобувних галузях, будівництві, промисловості та на транспорті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3213</w:t>
            </w:r>
          </w:p>
        </w:tc>
        <w:tc>
          <w:tcPr>
            <w:tcW w:w="131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4475D8" w:rsidTr="001E3909">
        <w:trPr>
          <w:trHeight w:val="255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94 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професії, що</w:t>
            </w:r>
          </w:p>
          <w:p w:rsidR="002340F7" w:rsidRPr="004475D8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є загальними для всіх галузей економіки 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3719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4475D8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</w:tbl>
    <w:p w:rsidR="002340F7" w:rsidRPr="001B4246" w:rsidRDefault="002340F7" w:rsidP="001B424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1B4246" w:rsidRPr="001B4246" w:rsidRDefault="001B4246" w:rsidP="001B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1B42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uk-UA"/>
        </w:rPr>
        <w:t>1</w:t>
      </w:r>
      <w:r w:rsidRPr="001B424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Див. виноску до таблиці 2.</w:t>
      </w:r>
    </w:p>
    <w:p w:rsidR="002340F7" w:rsidRPr="001B4246" w:rsidRDefault="002340F7" w:rsidP="001B4246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2340F7" w:rsidRPr="00156A5A" w:rsidRDefault="002340F7" w:rsidP="002340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Таблиця 4</w:t>
      </w:r>
      <w:r w:rsidRPr="00156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40F7" w:rsidRDefault="002340F7" w:rsidP="002340F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адійн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ість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цін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</w:t>
      </w: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показника</w:t>
      </w:r>
    </w:p>
    <w:p w:rsidR="002340F7" w:rsidRDefault="002340F7" w:rsidP="0023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>Середньомісяч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заробітна плата жінок</w:t>
      </w:r>
    </w:p>
    <w:p w:rsidR="002340F7" w:rsidRPr="00156A5A" w:rsidRDefault="002340F7" w:rsidP="0023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6179">
        <w:rPr>
          <w:rFonts w:ascii="Times New Roman" w:hAnsi="Times New Roman" w:cs="Times New Roman"/>
          <w:b/>
          <w:color w:val="000000"/>
          <w:sz w:val="28"/>
          <w:szCs w:val="28"/>
        </w:rPr>
        <w:t>на обстежених підприємствах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201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56A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2340F7" w:rsidRPr="007047F2" w:rsidRDefault="002340F7" w:rsidP="002340F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497" w:type="dxa"/>
        <w:jc w:val="center"/>
        <w:tblLayout w:type="fixed"/>
        <w:tblLook w:val="0020" w:firstRow="1" w:lastRow="0" w:firstColumn="0" w:lastColumn="0" w:noHBand="0" w:noVBand="0"/>
      </w:tblPr>
      <w:tblGrid>
        <w:gridCol w:w="464"/>
        <w:gridCol w:w="2977"/>
        <w:gridCol w:w="1521"/>
        <w:gridCol w:w="1275"/>
        <w:gridCol w:w="1276"/>
        <w:gridCol w:w="1134"/>
        <w:gridCol w:w="850"/>
      </w:tblGrid>
      <w:tr w:rsidR="002340F7" w:rsidRPr="007047F2" w:rsidTr="002340F7">
        <w:trPr>
          <w:trHeight w:val="255"/>
          <w:tblHeader/>
          <w:jc w:val="center"/>
        </w:trPr>
        <w:tc>
          <w:tcPr>
            <w:tcW w:w="3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F7" w:rsidRPr="007047F2" w:rsidRDefault="002340F7" w:rsidP="0023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7" w:rsidRPr="007047F2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47F2">
              <w:rPr>
                <w:rFonts w:ascii="Times New Roman" w:hAnsi="Times New Roman" w:cs="Times New Roman"/>
              </w:rPr>
              <w:t>Нараховано в середньому працівнику</w:t>
            </w:r>
            <w:r w:rsidR="001B4246" w:rsidRPr="001B4246">
              <w:rPr>
                <w:rFonts w:ascii="Times New Roman" w:hAnsi="Times New Roman" w:cs="Times New Roman"/>
                <w:vertAlign w:val="superscript"/>
              </w:rPr>
              <w:t>1</w:t>
            </w:r>
            <w:r w:rsidRPr="007047F2">
              <w:rPr>
                <w:rFonts w:ascii="Times New Roman" w:hAnsi="Times New Roman" w:cs="Times New Roman"/>
              </w:rPr>
              <w:t>,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47F2">
              <w:rPr>
                <w:rFonts w:ascii="Times New Roman" w:hAnsi="Times New Roman" w:cs="Times New Roman"/>
              </w:rPr>
              <w:t>Стандартна похибка вибірки (SE),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47F2">
              <w:rPr>
                <w:rFonts w:ascii="Times New Roman" w:hAnsi="Times New Roman" w:cs="Times New Roman"/>
              </w:rPr>
              <w:t>Гранична похибка вибірки (МE),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F7" w:rsidRPr="007047F2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7F2">
              <w:rPr>
                <w:rFonts w:ascii="Times New Roman" w:hAnsi="Times New Roman" w:cs="Times New Roman"/>
              </w:rPr>
              <w:t>Коефі-цієнт</w:t>
            </w:r>
            <w:proofErr w:type="spellEnd"/>
            <w:r w:rsidRPr="007047F2">
              <w:rPr>
                <w:rFonts w:ascii="Times New Roman" w:hAnsi="Times New Roman" w:cs="Times New Roman"/>
              </w:rPr>
              <w:t xml:space="preserve"> варіації (</w:t>
            </w:r>
            <w:r w:rsidRPr="007047F2">
              <w:rPr>
                <w:rFonts w:ascii="Times New Roman" w:hAnsi="Times New Roman" w:cs="Times New Roman"/>
                <w:lang w:val="en-US"/>
              </w:rPr>
              <w:t>CV</w:t>
            </w:r>
            <w:r w:rsidRPr="007047F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F7" w:rsidRPr="007047F2" w:rsidRDefault="002340F7" w:rsidP="002340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47F2">
              <w:rPr>
                <w:rFonts w:ascii="Times New Roman" w:hAnsi="Times New Roman" w:cs="Times New Roman"/>
              </w:rPr>
              <w:t>Кате-</w:t>
            </w:r>
            <w:proofErr w:type="spellStart"/>
            <w:r w:rsidRPr="007047F2">
              <w:rPr>
                <w:rFonts w:ascii="Times New Roman" w:hAnsi="Times New Roman" w:cs="Times New Roman"/>
              </w:rPr>
              <w:t>горія</w:t>
            </w:r>
            <w:proofErr w:type="spellEnd"/>
            <w:r w:rsidRPr="007047F2">
              <w:rPr>
                <w:rFonts w:ascii="Times New Roman" w:hAnsi="Times New Roman" w:cs="Times New Roman"/>
              </w:rPr>
              <w:t xml:space="preserve"> надій-</w:t>
            </w:r>
            <w:proofErr w:type="spellStart"/>
            <w:r w:rsidRPr="007047F2">
              <w:rPr>
                <w:rFonts w:ascii="Times New Roman" w:hAnsi="Times New Roman" w:cs="Times New Roman"/>
              </w:rPr>
              <w:t>ності</w:t>
            </w:r>
            <w:proofErr w:type="spellEnd"/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344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40F7" w:rsidRPr="007047F2" w:rsidRDefault="002340F7" w:rsidP="00234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Усього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</w:t>
            </w:r>
          </w:p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Законодавці, вищі державні службовці, керівники, менеджери (управителі)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6584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Законодавці, вищі державні службовці, вищі посадові особи громадських і </w:t>
            </w:r>
            <w:proofErr w:type="spellStart"/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самоврядувальних</w:t>
            </w:r>
            <w:proofErr w:type="spellEnd"/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організацій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Керівники підприємств, установ та організацій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Керівники малих підприємств без апарату управління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exact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Менеджери (управителі) підприємств, установ, організацій та їх підрозділів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Професіонали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Професіонали в галузі фізичних, математичних та технічних наук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Професіонали в галузі наук про життя та медичних наук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Викладачі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EA041F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Інші професіонали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Фахівці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Технічні фахівці в галузі прикладних наук та техніки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Фахівці в галузі біології, агрономії та медицини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3288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EA041F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Фахівці в галузі освіти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Інші фахівці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5145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35 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Фахівці в галузі харчової та переробної промисловості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Технічні службовці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Службовці, пов'язані з інформацією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Службовці, що обслуговують клієнтів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3339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Працівники сфери торгівлі та послуг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1E3909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exact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Працівники, що надають персональні та захисні послуги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1E3909">
        <w:trPr>
          <w:trHeight w:val="255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52 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Моделі, продавці та демонстратори 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1E3909">
        <w:trPr>
          <w:trHeight w:val="255"/>
          <w:jc w:val="center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53 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Працівники, що надають інші послуги юридичним та фізичним особам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Кваліфіковані робітники сільського та лісового господарств, риборозведення та рибальства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Кваліфіковані сільськогосподарські робітники та рибалки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Кваліфіковані робітники з інструментом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 з видобутку корисних копалин і на будівництві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 металургійних та машинобудівних професій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4444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 в галузі точної механіки, ручних ремесел та друкування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3399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74 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Інші кваліфіковані робітники з інструментом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Робітники з обслуговування, експлуатації та контролювання</w:t>
            </w:r>
          </w:p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за роботою технологічного устаткування, складання устаткування та машин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Робітники, що обслуговують промислове устаткування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3748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Робітники, що обслуговують машини, та складальники машин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Водії та робітники з обслуговування пересувної техніки та установок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Найпростіші професії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EA041F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91 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 торгівлі та сфери послуг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2340F7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92 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 в сільському господарстві</w:t>
            </w:r>
          </w:p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та подібних галузях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2340F7" w:rsidRPr="007047F2" w:rsidTr="001E3909">
        <w:trPr>
          <w:trHeight w:val="255"/>
          <w:jc w:val="center"/>
        </w:trPr>
        <w:tc>
          <w:tcPr>
            <w:tcW w:w="464" w:type="dxa"/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93 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 у видобувних галузях, будівництві, промисловості та на транспорті 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3014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0F7" w:rsidRPr="007047F2" w:rsidTr="001E3909">
        <w:trPr>
          <w:trHeight w:val="255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94 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Найпростіші професії, що</w:t>
            </w:r>
          </w:p>
          <w:p w:rsidR="002340F7" w:rsidRPr="007047F2" w:rsidRDefault="002340F7" w:rsidP="002340F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є загальними для всіх галузей економіки 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0F7" w:rsidRPr="007047F2" w:rsidRDefault="002340F7" w:rsidP="00234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</w:tbl>
    <w:p w:rsidR="002340F7" w:rsidRPr="001B4246" w:rsidRDefault="002340F7" w:rsidP="0023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4246" w:rsidRPr="001B4246" w:rsidRDefault="001B4246" w:rsidP="001B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1B42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uk-UA"/>
        </w:rPr>
        <w:t>1</w:t>
      </w:r>
      <w:r w:rsidRPr="001B424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Див. виноску до таблиці 2.</w:t>
      </w:r>
    </w:p>
    <w:p w:rsidR="001B4246" w:rsidRPr="001B4246" w:rsidRDefault="001B4246" w:rsidP="00234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A5A" w:rsidRPr="007451C5" w:rsidRDefault="00156A5A" w:rsidP="002340F7">
      <w:pPr>
        <w:jc w:val="center"/>
      </w:pPr>
    </w:p>
    <w:p w:rsidR="004A1D5B" w:rsidRPr="00452C96" w:rsidRDefault="004A1D5B" w:rsidP="00234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96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B4E07">
        <w:rPr>
          <w:rFonts w:ascii="Times New Roman" w:hAnsi="Times New Roman" w:cs="Times New Roman"/>
          <w:b/>
          <w:sz w:val="28"/>
          <w:szCs w:val="28"/>
        </w:rPr>
        <w:t>2.</w:t>
      </w:r>
      <w:r w:rsidRPr="00452C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Нев</w:t>
      </w:r>
      <w:r w:rsidRPr="00452C96">
        <w:rPr>
          <w:rFonts w:ascii="Times New Roman" w:hAnsi="Times New Roman" w:cs="Times New Roman"/>
          <w:b/>
          <w:sz w:val="28"/>
          <w:szCs w:val="28"/>
        </w:rPr>
        <w:t>ибіркові похибки</w:t>
      </w:r>
    </w:p>
    <w:p w:rsidR="004A1D5B" w:rsidRDefault="004A1D5B" w:rsidP="0024484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A1D5B" w:rsidRDefault="00E94701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159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A1D5B" w:rsidRPr="004A1D5B">
        <w:rPr>
          <w:rFonts w:ascii="Times New Roman" w:hAnsi="Times New Roman" w:cs="Times New Roman"/>
          <w:color w:val="000000"/>
          <w:sz w:val="28"/>
          <w:szCs w:val="28"/>
        </w:rPr>
        <w:t xml:space="preserve">евибіркові похибки </w:t>
      </w:r>
      <w:r w:rsidR="00C90CCC" w:rsidRPr="00C90CCC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A1D5B" w:rsidRPr="004A1D5B">
        <w:rPr>
          <w:rFonts w:ascii="Times New Roman" w:hAnsi="Times New Roman" w:cs="Times New Roman"/>
          <w:color w:val="000000"/>
          <w:sz w:val="28"/>
          <w:szCs w:val="28"/>
        </w:rPr>
        <w:t>це похибки, які виникають з причин, що н</w:t>
      </w:r>
      <w:r>
        <w:rPr>
          <w:rFonts w:ascii="Times New Roman" w:hAnsi="Times New Roman" w:cs="Times New Roman"/>
          <w:color w:val="000000"/>
          <w:sz w:val="28"/>
          <w:szCs w:val="28"/>
        </w:rPr>
        <w:t>е пов’</w:t>
      </w:r>
      <w:r w:rsidR="004A1D5B" w:rsidRPr="004A1D5B">
        <w:rPr>
          <w:rFonts w:ascii="Times New Roman" w:hAnsi="Times New Roman" w:cs="Times New Roman"/>
          <w:color w:val="000000"/>
          <w:sz w:val="28"/>
          <w:szCs w:val="28"/>
        </w:rPr>
        <w:t xml:space="preserve">язані з випадковим відбором одиниць для обстеження, зокрема, через недоліки основи вибірки, наявність </w:t>
      </w:r>
      <w:proofErr w:type="spellStart"/>
      <w:r w:rsidR="00807AF9">
        <w:rPr>
          <w:rFonts w:ascii="Times New Roman" w:hAnsi="Times New Roman" w:cs="Times New Roman"/>
          <w:color w:val="000000"/>
          <w:sz w:val="28"/>
          <w:szCs w:val="28"/>
        </w:rPr>
        <w:t>невідповідей</w:t>
      </w:r>
      <w:proofErr w:type="spellEnd"/>
      <w:r w:rsidR="004A1D5B" w:rsidRPr="004A1D5B">
        <w:rPr>
          <w:rFonts w:ascii="Times New Roman" w:hAnsi="Times New Roman" w:cs="Times New Roman"/>
          <w:color w:val="000000"/>
          <w:sz w:val="28"/>
          <w:szCs w:val="28"/>
        </w:rPr>
        <w:t>, навмисне чи ненавмисне викривлення даних респондентом, невдалі формулювання питань та пояснення щодо ї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A1D5B" w:rsidRPr="004A1D5B">
        <w:rPr>
          <w:rFonts w:ascii="Times New Roman" w:hAnsi="Times New Roman" w:cs="Times New Roman"/>
          <w:color w:val="000000"/>
          <w:sz w:val="28"/>
          <w:szCs w:val="28"/>
        </w:rPr>
        <w:t xml:space="preserve"> заповнення, недоліки введення, передання, редагування та кодування даних тощо.</w:t>
      </w:r>
      <w:bookmarkEnd w:id="0"/>
    </w:p>
    <w:p w:rsidR="00387D8A" w:rsidRDefault="00387D8A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D8A">
        <w:rPr>
          <w:rFonts w:ascii="Times New Roman" w:hAnsi="Times New Roman" w:cs="Times New Roman"/>
          <w:color w:val="000000"/>
          <w:sz w:val="28"/>
          <w:szCs w:val="28"/>
        </w:rPr>
        <w:t xml:space="preserve">Однією із </w:t>
      </w:r>
      <w:r>
        <w:rPr>
          <w:rFonts w:ascii="Times New Roman" w:hAnsi="Times New Roman" w:cs="Times New Roman"/>
          <w:color w:val="000000"/>
          <w:sz w:val="28"/>
          <w:szCs w:val="28"/>
        </w:rPr>
        <w:t>най</w:t>
      </w:r>
      <w:r w:rsidRPr="00387D8A">
        <w:rPr>
          <w:rFonts w:ascii="Times New Roman" w:hAnsi="Times New Roman" w:cs="Times New Roman"/>
          <w:color w:val="000000"/>
          <w:sz w:val="28"/>
          <w:szCs w:val="28"/>
        </w:rPr>
        <w:t>суттєв</w:t>
      </w:r>
      <w:r>
        <w:rPr>
          <w:rFonts w:ascii="Times New Roman" w:hAnsi="Times New Roman" w:cs="Times New Roman"/>
          <w:color w:val="000000"/>
          <w:sz w:val="28"/>
          <w:szCs w:val="28"/>
        </w:rPr>
        <w:t>іших</w:t>
      </w:r>
      <w:r w:rsidRPr="00387D8A">
        <w:rPr>
          <w:rFonts w:ascii="Times New Roman" w:hAnsi="Times New Roman" w:cs="Times New Roman"/>
          <w:color w:val="000000"/>
          <w:sz w:val="28"/>
          <w:szCs w:val="28"/>
        </w:rPr>
        <w:t xml:space="preserve"> причин виникнення похибок у вибіркових обстеженнях за діяльністю підприємств, а відповідно </w:t>
      </w:r>
      <w:r w:rsidR="00527DB7" w:rsidRPr="00527DB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87D8A">
        <w:rPr>
          <w:rFonts w:ascii="Times New Roman" w:hAnsi="Times New Roman" w:cs="Times New Roman"/>
          <w:color w:val="000000"/>
          <w:sz w:val="28"/>
          <w:szCs w:val="28"/>
        </w:rPr>
        <w:t xml:space="preserve"> розбіжностей між характеристиками їх генеральної та вибіркової сукупностей, є відсутність або неповнота відповідей респондентів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3F53" w:rsidRPr="000E3F53" w:rsidRDefault="000E3F53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F53">
        <w:rPr>
          <w:rFonts w:ascii="Times New Roman" w:hAnsi="Times New Roman" w:cs="Times New Roman"/>
          <w:color w:val="000000"/>
          <w:sz w:val="28"/>
          <w:szCs w:val="28"/>
        </w:rPr>
        <w:t>Рівні повних відповідей</w:t>
      </w:r>
      <w:r w:rsidR="00387D8A">
        <w:rPr>
          <w:rFonts w:ascii="Times New Roman" w:hAnsi="Times New Roman" w:cs="Times New Roman"/>
          <w:color w:val="000000"/>
          <w:sz w:val="28"/>
          <w:szCs w:val="28"/>
        </w:rPr>
        <w:t xml:space="preserve"> за результатами ОЗПП,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обчислені за видами економічної діяльності та регіонами України</w:t>
      </w:r>
      <w:r w:rsidR="00387D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24DD7">
        <w:rPr>
          <w:rFonts w:ascii="Times New Roman" w:hAnsi="Times New Roman" w:cs="Times New Roman"/>
          <w:color w:val="000000"/>
          <w:sz w:val="28"/>
          <w:szCs w:val="28"/>
        </w:rPr>
        <w:t xml:space="preserve"> наведені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на рис</w:t>
      </w:r>
      <w:r w:rsidR="00F24DD7">
        <w:rPr>
          <w:rFonts w:ascii="Times New Roman" w:hAnsi="Times New Roman" w:cs="Times New Roman"/>
          <w:color w:val="000000"/>
          <w:sz w:val="28"/>
          <w:szCs w:val="28"/>
        </w:rPr>
        <w:t>унках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D167E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94701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асткові відповіді в </w:t>
      </w:r>
      <w:r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="00E94701">
        <w:rPr>
          <w:rFonts w:ascii="Times New Roman" w:hAnsi="Times New Roman" w:cs="Times New Roman"/>
          <w:color w:val="000000"/>
          <w:sz w:val="28"/>
          <w:szCs w:val="28"/>
        </w:rPr>
        <w:t>ПП не фіксуються.</w:t>
      </w:r>
    </w:p>
    <w:p w:rsidR="00103F25" w:rsidRDefault="001D0F57" w:rsidP="001D0F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F53">
        <w:rPr>
          <w:rFonts w:ascii="Times New Roman" w:hAnsi="Times New Roman" w:cs="Times New Roman"/>
          <w:color w:val="000000"/>
          <w:sz w:val="28"/>
          <w:szCs w:val="28"/>
        </w:rPr>
        <w:t>У середньому по Україні рівень повних відповідей становив 9</w:t>
      </w:r>
      <w:r>
        <w:rPr>
          <w:rFonts w:ascii="Times New Roman" w:hAnsi="Times New Roman" w:cs="Times New Roman"/>
          <w:color w:val="000000"/>
          <w:sz w:val="28"/>
          <w:szCs w:val="28"/>
        </w:rPr>
        <w:t>1,9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>%. За видами економічно</w:t>
      </w:r>
      <w:r>
        <w:rPr>
          <w:rFonts w:ascii="Times New Roman" w:hAnsi="Times New Roman" w:cs="Times New Roman"/>
          <w:color w:val="000000"/>
          <w:sz w:val="28"/>
          <w:szCs w:val="28"/>
        </w:rPr>
        <w:t>ї діяльності він коливався від 83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/>
          <w:sz w:val="28"/>
          <w:szCs w:val="28"/>
        </w:rPr>
        <w:t>у н</w:t>
      </w:r>
      <w:r w:rsidRPr="00A542FF">
        <w:rPr>
          <w:rFonts w:ascii="Times New Roman" w:hAnsi="Times New Roman" w:cs="Times New Roman"/>
          <w:color w:val="000000"/>
          <w:sz w:val="28"/>
          <w:szCs w:val="28"/>
        </w:rPr>
        <w:t>аданн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A542FF">
        <w:rPr>
          <w:rFonts w:ascii="Times New Roman" w:hAnsi="Times New Roman" w:cs="Times New Roman"/>
          <w:color w:val="000000"/>
          <w:sz w:val="28"/>
          <w:szCs w:val="28"/>
        </w:rPr>
        <w:t xml:space="preserve"> інших видів послуг</w:t>
      </w:r>
      <w:r w:rsidRPr="00960E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 98,3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</w:t>
      </w:r>
      <w:r w:rsidRPr="00A542FF">
        <w:rPr>
          <w:rFonts w:ascii="Times New Roman" w:hAnsi="Times New Roman" w:cs="Times New Roman"/>
          <w:color w:val="000000"/>
          <w:sz w:val="28"/>
          <w:szCs w:val="28"/>
        </w:rPr>
        <w:t>хорон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A542FF">
        <w:rPr>
          <w:rFonts w:ascii="Times New Roman" w:hAnsi="Times New Roman" w:cs="Times New Roman"/>
          <w:color w:val="000000"/>
          <w:sz w:val="28"/>
          <w:szCs w:val="28"/>
        </w:rPr>
        <w:t xml:space="preserve"> здоров’я та наданн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A542FF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соціальної допомоги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3F25" w:rsidRDefault="00103F25" w:rsidP="00103F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Найвищий рівень повних відповідей серед регіонів спостерігався </w:t>
      </w:r>
      <w:r w:rsidR="00C90F38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Чернігівській області (98,2%), Тернопільській (98,0%) і Закарпатській (97,9%), а найнижчий – у Луганській (72,5%) і Донецькій (77,2%) областях.</w:t>
      </w:r>
    </w:p>
    <w:p w:rsidR="00103F25" w:rsidRDefault="001D0F57" w:rsidP="00103F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3F25" w:rsidRPr="000E3F53">
        <w:rPr>
          <w:rFonts w:ascii="Times New Roman" w:hAnsi="Times New Roman" w:cs="Times New Roman"/>
          <w:color w:val="000000"/>
          <w:sz w:val="28"/>
          <w:szCs w:val="28"/>
        </w:rPr>
        <w:t>Слід зазначити, що з 1</w:t>
      </w:r>
      <w:r w:rsidR="00103F25">
        <w:rPr>
          <w:rFonts w:ascii="Times New Roman" w:hAnsi="Times New Roman" w:cs="Times New Roman"/>
          <w:color w:val="000000"/>
          <w:sz w:val="28"/>
          <w:szCs w:val="28"/>
        </w:rPr>
        <w:t>309</w:t>
      </w:r>
      <w:r w:rsidR="00103F25"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випадків неотримання інфо</w:t>
      </w:r>
      <w:r w:rsidR="00103F25">
        <w:rPr>
          <w:rFonts w:ascii="Times New Roman" w:hAnsi="Times New Roman" w:cs="Times New Roman"/>
          <w:color w:val="000000"/>
          <w:sz w:val="28"/>
          <w:szCs w:val="28"/>
        </w:rPr>
        <w:t>рмації від респондентів (тобто 8,1</w:t>
      </w:r>
      <w:r w:rsidR="00103F25"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% відібраних для обстеження) лише </w:t>
      </w:r>
      <w:r w:rsidR="00103F25">
        <w:rPr>
          <w:rFonts w:ascii="Times New Roman" w:hAnsi="Times New Roman" w:cs="Times New Roman"/>
          <w:color w:val="000000"/>
          <w:sz w:val="28"/>
          <w:szCs w:val="28"/>
        </w:rPr>
        <w:t>210</w:t>
      </w:r>
      <w:r w:rsidR="00103F25"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3F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03F25" w:rsidRPr="000E3F53">
        <w:rPr>
          <w:rFonts w:ascii="Times New Roman" w:hAnsi="Times New Roman" w:cs="Times New Roman"/>
          <w:color w:val="000000"/>
          <w:sz w:val="28"/>
          <w:szCs w:val="28"/>
        </w:rPr>
        <w:t>умовлені відмовами від звітування, решта випадк</w:t>
      </w:r>
      <w:r w:rsidR="00103F25">
        <w:rPr>
          <w:rFonts w:ascii="Times New Roman" w:hAnsi="Times New Roman" w:cs="Times New Roman"/>
          <w:color w:val="000000"/>
          <w:sz w:val="28"/>
          <w:szCs w:val="28"/>
        </w:rPr>
        <w:t>ів неподання звітності пов’язана</w:t>
      </w:r>
      <w:r w:rsidR="00103F25"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з іншими об’єктивними причинами, наприклад демографічними перетвореннями, припиненням</w:t>
      </w:r>
      <w:r w:rsidR="00103F25">
        <w:rPr>
          <w:rFonts w:ascii="Times New Roman" w:hAnsi="Times New Roman" w:cs="Times New Roman"/>
          <w:color w:val="000000"/>
          <w:sz w:val="28"/>
          <w:szCs w:val="28"/>
        </w:rPr>
        <w:t xml:space="preserve"> роботи</w:t>
      </w:r>
      <w:r w:rsidR="00103F25"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підприємств, їх банкрутством тощо.</w:t>
      </w:r>
    </w:p>
    <w:p w:rsidR="00BF6867" w:rsidRDefault="00BF6867" w:rsidP="00103F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6867" w:rsidRPr="00156A5A" w:rsidRDefault="00BF6867" w:rsidP="00BF686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Таблиця 5</w:t>
      </w:r>
      <w:r w:rsidRPr="00156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6867" w:rsidRDefault="00BF6867" w:rsidP="00BF68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Рівень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невідповідей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причинами</w:t>
      </w:r>
    </w:p>
    <w:p w:rsidR="00BF6867" w:rsidRDefault="00BF6867" w:rsidP="00BF68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b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35"/>
      </w:tblGrid>
      <w:tr w:rsidR="00BF6867" w:rsidTr="00124F4B">
        <w:trPr>
          <w:jc w:val="center"/>
        </w:trPr>
        <w:tc>
          <w:tcPr>
            <w:tcW w:w="6663" w:type="dxa"/>
          </w:tcPr>
          <w:p w:rsidR="00BF6867" w:rsidRPr="00E13BE6" w:rsidRDefault="00BF6867" w:rsidP="00AC0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неподання 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державного статистичного спостереження</w:t>
            </w:r>
          </w:p>
        </w:tc>
        <w:tc>
          <w:tcPr>
            <w:tcW w:w="2835" w:type="dxa"/>
          </w:tcPr>
          <w:p w:rsidR="00BF6867" w:rsidRDefault="00BF6867" w:rsidP="00AC0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Рівень </w:t>
            </w:r>
            <w:proofErr w:type="spellStart"/>
            <w:r w:rsidRPr="00E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невідповідей</w:t>
            </w:r>
            <w:proofErr w:type="spellEnd"/>
            <w:r w:rsidRPr="00E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F6867" w:rsidRPr="00E13BE6" w:rsidRDefault="00BF6867" w:rsidP="00AC0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Pr="00E13BE6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знайдено за наявними адресами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Pr="00E13BE6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звітує з причини банкрутства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Pr="00E13BE6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Припинено або в стадії припинення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Pr="00E13BE6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Відмова звітувати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Pr="00E13BE6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Призупинено діяльність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Pr="00E13BE6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одиницю звітує інша одиниця (підприємство)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Pr="00CE3E89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звітує у зв’язку з демографічними перетвореннями (приєднанням, злиттям, поділом)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CE0BC7" w:rsidTr="00CE0BC7">
        <w:trPr>
          <w:jc w:val="center"/>
        </w:trPr>
        <w:tc>
          <w:tcPr>
            <w:tcW w:w="6663" w:type="dxa"/>
          </w:tcPr>
          <w:p w:rsidR="00CE0BC7" w:rsidRDefault="00CE0BC7" w:rsidP="00CE0B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звітує з причини виникнення надзвичайних та непереборних обставин</w:t>
            </w:r>
          </w:p>
        </w:tc>
        <w:tc>
          <w:tcPr>
            <w:tcW w:w="2835" w:type="dxa"/>
            <w:vAlign w:val="bottom"/>
          </w:tcPr>
          <w:p w:rsidR="00CE0BC7" w:rsidRPr="00CE0BC7" w:rsidRDefault="00CE0BC7" w:rsidP="00CE0B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</w:tbl>
    <w:p w:rsidR="00BF6867" w:rsidRPr="00156A5A" w:rsidRDefault="00BF6867" w:rsidP="00BF68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F57" w:rsidRPr="000E3F53" w:rsidRDefault="001D0F57" w:rsidP="001D0F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7D8A" w:rsidRDefault="00387D8A" w:rsidP="00387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Start w:id="1" w:name="_MON_1590928373"/>
    <w:bookmarkEnd w:id="1"/>
    <w:p w:rsidR="00387D8A" w:rsidRPr="000E3F53" w:rsidRDefault="0002588C" w:rsidP="00025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object w:dxaOrig="9191" w:dyaOrig="5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6pt;height:281.4pt" o:ole="">
            <v:imagedata r:id="rId8" o:title=""/>
          </v:shape>
          <o:OLEObject Type="Embed" ProgID="Excel.Sheet.12" ShapeID="_x0000_i1025" DrawAspect="Content" ObjectID="_1594126952" r:id="rId9"/>
        </w:object>
      </w:r>
    </w:p>
    <w:p w:rsidR="00B63DB5" w:rsidRPr="00645BF7" w:rsidRDefault="00B63DB5" w:rsidP="00AB65B0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00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3544"/>
        <w:gridCol w:w="1134"/>
        <w:gridCol w:w="3118"/>
      </w:tblGrid>
      <w:tr w:rsidR="00B63DB5" w:rsidRPr="00B63DB5" w:rsidTr="0002588C">
        <w:trPr>
          <w:trHeight w:val="246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B5" w:rsidRPr="000C0D73" w:rsidRDefault="00B63DB5" w:rsidP="00B6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виду діяльності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B5" w:rsidRPr="000C0D73" w:rsidRDefault="00B63DB5" w:rsidP="00B6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діяльності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DB5" w:rsidRPr="000C0D73" w:rsidRDefault="00B63DB5" w:rsidP="00B6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виду діяльності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3DB5" w:rsidRPr="000C0D73" w:rsidRDefault="00B63DB5" w:rsidP="0002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діяльності</w:t>
            </w:r>
          </w:p>
        </w:tc>
      </w:tr>
      <w:tr w:rsidR="00053691" w:rsidRPr="00B63DB5" w:rsidTr="0002588C">
        <w:trPr>
          <w:trHeight w:val="246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Сільське господарство, мисливство, лісове господарство та рибне господарство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Інформація та телекомунікації</w:t>
            </w:r>
          </w:p>
        </w:tc>
      </w:tr>
      <w:tr w:rsidR="00053691" w:rsidRPr="00B63DB5" w:rsidTr="0002588C">
        <w:trPr>
          <w:trHeight w:val="131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В+С+D+E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Промисловість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Фінансова та страхова діяльність </w:t>
            </w:r>
          </w:p>
        </w:tc>
      </w:tr>
      <w:tr w:rsidR="00053691" w:rsidRPr="00B63DB5" w:rsidTr="0002588C">
        <w:trPr>
          <w:trHeight w:val="131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Добувна промисловість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Операції з нерухомим майном</w:t>
            </w:r>
          </w:p>
        </w:tc>
      </w:tr>
      <w:tr w:rsidR="00053691" w:rsidRPr="00B63DB5" w:rsidTr="0002588C">
        <w:trPr>
          <w:trHeight w:val="361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Переробна промисловість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Професійна, наукова та технічна діяльність</w:t>
            </w:r>
          </w:p>
        </w:tc>
      </w:tr>
      <w:tr w:rsidR="00053691" w:rsidRPr="00B63DB5" w:rsidTr="0002588C">
        <w:trPr>
          <w:trHeight w:val="131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Діяльність у сфері адміністративного та допоміжного обслуговування</w:t>
            </w:r>
          </w:p>
        </w:tc>
      </w:tr>
      <w:tr w:rsidR="00053691" w:rsidRPr="00B63DB5" w:rsidTr="0002588C">
        <w:trPr>
          <w:trHeight w:val="246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Виробництво та розподілення електроенергії, газу та води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Державне управління й оборона; обов’язкове соціальне страхування</w:t>
            </w:r>
          </w:p>
        </w:tc>
      </w:tr>
      <w:tr w:rsidR="00053691" w:rsidRPr="00B63DB5" w:rsidTr="0002588C">
        <w:trPr>
          <w:trHeight w:val="361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Будівництво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79141D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Освіта</w:t>
            </w:r>
          </w:p>
        </w:tc>
      </w:tr>
      <w:tr w:rsidR="00053691" w:rsidRPr="00B63DB5" w:rsidTr="0002588C">
        <w:trPr>
          <w:trHeight w:val="246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 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Оптова та роздрібна торгівля; ремонт автотранспортних засобів і мотоциклів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Q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79141D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Охорона здоров’я та надання соціальної допомоги</w:t>
            </w:r>
          </w:p>
        </w:tc>
      </w:tr>
      <w:tr w:rsidR="00053691" w:rsidRPr="00B63DB5" w:rsidTr="0002588C">
        <w:trPr>
          <w:trHeight w:val="246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Транспорт, складське господарство, поштова та кур’єрська діяльність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79141D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Мистецтво, спорт, розваги та відпочинок</w:t>
            </w:r>
          </w:p>
        </w:tc>
      </w:tr>
      <w:tr w:rsidR="00053691" w:rsidRPr="00B63DB5" w:rsidTr="0002588C">
        <w:trPr>
          <w:trHeight w:val="246"/>
          <w:jc w:val="center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Тимчасове розміщування й організація харчування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691" w:rsidRPr="000C0D73" w:rsidRDefault="00053691" w:rsidP="00053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3691" w:rsidRPr="000C0D73" w:rsidRDefault="0079141D" w:rsidP="00053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0D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 інших видів послуг</w:t>
            </w:r>
          </w:p>
        </w:tc>
      </w:tr>
    </w:tbl>
    <w:p w:rsidR="00645BF7" w:rsidRDefault="00645BF7" w:rsidP="00645BF7">
      <w:pPr>
        <w:pStyle w:val="Default"/>
        <w:rPr>
          <w:b/>
          <w:bCs/>
        </w:rPr>
      </w:pPr>
    </w:p>
    <w:p w:rsidR="00BA0851" w:rsidRPr="00BA0851" w:rsidRDefault="00BA0851" w:rsidP="00BA0851">
      <w:pPr>
        <w:pStyle w:val="Default"/>
        <w:jc w:val="center"/>
        <w:rPr>
          <w:bCs/>
          <w:sz w:val="28"/>
          <w:szCs w:val="28"/>
        </w:rPr>
      </w:pPr>
      <w:r w:rsidRPr="00BA0851">
        <w:rPr>
          <w:bCs/>
          <w:sz w:val="28"/>
          <w:szCs w:val="28"/>
        </w:rPr>
        <w:t>Рис.1. Рівні повних відповідей респондентів за видами економічної</w:t>
      </w:r>
    </w:p>
    <w:p w:rsidR="00BA0851" w:rsidRPr="00BA0851" w:rsidRDefault="00BA0851" w:rsidP="00BA0851">
      <w:pPr>
        <w:pStyle w:val="Default"/>
        <w:jc w:val="center"/>
        <w:rPr>
          <w:bCs/>
        </w:rPr>
      </w:pPr>
      <w:r w:rsidRPr="00BA0851">
        <w:rPr>
          <w:bCs/>
          <w:sz w:val="28"/>
          <w:szCs w:val="28"/>
        </w:rPr>
        <w:t>діяльності у 201</w:t>
      </w:r>
      <w:r>
        <w:rPr>
          <w:bCs/>
          <w:sz w:val="28"/>
          <w:szCs w:val="28"/>
        </w:rPr>
        <w:t>6</w:t>
      </w:r>
      <w:r w:rsidRPr="00BA0851">
        <w:rPr>
          <w:bCs/>
          <w:sz w:val="28"/>
          <w:szCs w:val="28"/>
        </w:rPr>
        <w:t xml:space="preserve"> році</w:t>
      </w:r>
    </w:p>
    <w:p w:rsidR="00BA0851" w:rsidRDefault="00BA0851" w:rsidP="00523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0851" w:rsidRDefault="00BA0851" w:rsidP="00523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3FC9" w:rsidRDefault="00523FC9" w:rsidP="00523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3FC9" w:rsidRPr="00523FC9" w:rsidRDefault="00523FC9" w:rsidP="0052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bookmarkStart w:id="2" w:name="_MON_1467792756"/>
    <w:bookmarkEnd w:id="2"/>
    <w:p w:rsidR="00AB65B0" w:rsidRDefault="00C90F38" w:rsidP="00645BF7">
      <w:pPr>
        <w:pStyle w:val="Default"/>
        <w:rPr>
          <w:b/>
          <w:bCs/>
        </w:rPr>
      </w:pPr>
      <w:r>
        <w:rPr>
          <w:sz w:val="28"/>
          <w:szCs w:val="28"/>
        </w:rPr>
        <w:object w:dxaOrig="8027" w:dyaOrig="6432">
          <v:shape id="_x0000_i1026" type="#_x0000_t75" style="width:447pt;height:332.4pt" o:ole="">
            <v:imagedata r:id="rId10" o:title=""/>
          </v:shape>
          <o:OLEObject Type="Embed" ProgID="Excel.Sheet.12" ShapeID="_x0000_i1026" DrawAspect="Content" ObjectID="_1594126953" r:id="rId11"/>
        </w:object>
      </w:r>
      <w:r w:rsidR="00645BF7" w:rsidRPr="00645BF7">
        <w:rPr>
          <w:b/>
          <w:bCs/>
        </w:rPr>
        <w:t xml:space="preserve"> </w:t>
      </w:r>
    </w:p>
    <w:p w:rsidR="00645BF7" w:rsidRDefault="00645BF7" w:rsidP="00645BF7">
      <w:pPr>
        <w:pStyle w:val="Default"/>
        <w:rPr>
          <w:b/>
          <w:bCs/>
          <w:sz w:val="28"/>
          <w:szCs w:val="28"/>
        </w:rPr>
      </w:pPr>
    </w:p>
    <w:p w:rsidR="00AC291C" w:rsidRPr="00AC291C" w:rsidRDefault="00AC291C" w:rsidP="00AC291C">
      <w:pPr>
        <w:pStyle w:val="Default"/>
        <w:jc w:val="center"/>
        <w:rPr>
          <w:sz w:val="28"/>
          <w:szCs w:val="28"/>
        </w:rPr>
      </w:pPr>
      <w:r w:rsidRPr="00AC291C">
        <w:rPr>
          <w:sz w:val="28"/>
          <w:szCs w:val="28"/>
        </w:rPr>
        <w:t>Рис.2</w:t>
      </w:r>
      <w:r>
        <w:rPr>
          <w:sz w:val="28"/>
          <w:szCs w:val="28"/>
        </w:rPr>
        <w:t>.</w:t>
      </w:r>
      <w:r w:rsidRPr="00AC291C">
        <w:rPr>
          <w:sz w:val="28"/>
          <w:szCs w:val="28"/>
        </w:rPr>
        <w:t xml:space="preserve"> Рівні повних відповідей респондентів за регіонами у 201</w:t>
      </w:r>
      <w:r>
        <w:rPr>
          <w:sz w:val="28"/>
          <w:szCs w:val="28"/>
        </w:rPr>
        <w:t>6</w:t>
      </w:r>
      <w:r w:rsidRPr="00AC291C">
        <w:rPr>
          <w:sz w:val="28"/>
          <w:szCs w:val="28"/>
        </w:rPr>
        <w:t xml:space="preserve"> році</w:t>
      </w:r>
    </w:p>
    <w:p w:rsidR="00F351C4" w:rsidRPr="00156A5A" w:rsidRDefault="00F351C4" w:rsidP="00FB614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51C4" w:rsidRPr="00F351C4" w:rsidRDefault="00F351C4" w:rsidP="003A7706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C3B">
        <w:rPr>
          <w:rFonts w:ascii="Times New Roman" w:hAnsi="Times New Roman" w:cs="Times New Roman"/>
          <w:color w:val="000000"/>
          <w:sz w:val="28"/>
          <w:szCs w:val="28"/>
        </w:rPr>
        <w:t>За даними анкетного опитування користувачів про ступінь відповідності</w:t>
      </w:r>
      <w:r w:rsidRPr="00F35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їхнім </w:t>
      </w:r>
      <w:r w:rsidRPr="00F351C4">
        <w:rPr>
          <w:rFonts w:ascii="Times New Roman" w:hAnsi="Times New Roman" w:cs="Times New Roman"/>
          <w:color w:val="000000"/>
          <w:sz w:val="28"/>
          <w:szCs w:val="28"/>
        </w:rPr>
        <w:t xml:space="preserve">потребам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статистично</w:t>
      </w:r>
      <w:r w:rsidR="00C30C3B">
        <w:rPr>
          <w:rFonts w:ascii="Times New Roman" w:hAnsi="Times New Roman" w:cs="Times New Roman"/>
          <w:color w:val="000000"/>
          <w:sz w:val="28"/>
          <w:szCs w:val="28"/>
        </w:rPr>
        <w:t>ї інформації за підсумками ОЗПП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65C">
        <w:rPr>
          <w:rFonts w:ascii="Times New Roman" w:hAnsi="Times New Roman" w:cs="Times New Roman"/>
          <w:color w:val="000000"/>
          <w:sz w:val="28"/>
          <w:szCs w:val="28"/>
        </w:rPr>
        <w:t xml:space="preserve">майже </w:t>
      </w:r>
      <w:r w:rsidR="00C30C3B">
        <w:rPr>
          <w:rFonts w:ascii="Times New Roman" w:hAnsi="Times New Roman" w:cs="Times New Roman"/>
          <w:color w:val="000000"/>
          <w:sz w:val="28"/>
          <w:szCs w:val="28"/>
        </w:rPr>
        <w:t>дві</w:t>
      </w:r>
      <w:r w:rsidR="00FA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0C3B">
        <w:rPr>
          <w:rFonts w:ascii="Times New Roman" w:hAnsi="Times New Roman" w:cs="Times New Roman"/>
          <w:color w:val="000000"/>
          <w:sz w:val="28"/>
          <w:szCs w:val="28"/>
        </w:rPr>
        <w:t>третини</w:t>
      </w:r>
      <w:r w:rsidR="00FA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51C4">
        <w:rPr>
          <w:rFonts w:ascii="Times New Roman" w:hAnsi="Times New Roman" w:cs="Times New Roman"/>
          <w:color w:val="000000"/>
          <w:sz w:val="28"/>
          <w:szCs w:val="28"/>
        </w:rPr>
        <w:t>опитаних позитивно (</w:t>
      </w:r>
      <w:r w:rsidR="00C30C3B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Pr="00F351C4">
        <w:rPr>
          <w:rFonts w:ascii="Times New Roman" w:hAnsi="Times New Roman" w:cs="Times New Roman"/>
          <w:color w:val="000000"/>
          <w:sz w:val="28"/>
          <w:szCs w:val="28"/>
        </w:rPr>
        <w:t xml:space="preserve">% – добре, </w:t>
      </w:r>
      <w:r w:rsidR="00C30C3B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F351C4">
        <w:rPr>
          <w:rFonts w:ascii="Times New Roman" w:hAnsi="Times New Roman" w:cs="Times New Roman"/>
          <w:color w:val="000000"/>
          <w:sz w:val="28"/>
          <w:szCs w:val="28"/>
        </w:rPr>
        <w:t xml:space="preserve">% – відмінно) оцінили </w:t>
      </w:r>
      <w:r w:rsidR="00FA165C">
        <w:rPr>
          <w:rFonts w:ascii="Times New Roman" w:hAnsi="Times New Roman" w:cs="Times New Roman"/>
          <w:color w:val="000000"/>
          <w:sz w:val="28"/>
          <w:szCs w:val="28"/>
        </w:rPr>
        <w:t xml:space="preserve">надійність даних щодо рівня </w:t>
      </w:r>
      <w:r w:rsidR="00FA165C" w:rsidRPr="00FA165C">
        <w:rPr>
          <w:rFonts w:ascii="Times New Roman" w:hAnsi="Times New Roman" w:cs="Times New Roman"/>
          <w:color w:val="000000"/>
          <w:sz w:val="28"/>
          <w:szCs w:val="28"/>
        </w:rPr>
        <w:t>заробітної плати штатних працівників за статтю, віком, освітою та професійними групами</w:t>
      </w:r>
      <w:r w:rsidR="00FA165C">
        <w:rPr>
          <w:rFonts w:ascii="Times New Roman" w:hAnsi="Times New Roman" w:cs="Times New Roman"/>
          <w:color w:val="000000"/>
          <w:sz w:val="28"/>
          <w:szCs w:val="28"/>
        </w:rPr>
        <w:t xml:space="preserve">. Незадоволені точністю інформації лише </w:t>
      </w:r>
      <w:r w:rsidR="00771517">
        <w:rPr>
          <w:rFonts w:ascii="Times New Roman" w:hAnsi="Times New Roman" w:cs="Times New Roman"/>
          <w:color w:val="000000"/>
          <w:sz w:val="28"/>
          <w:szCs w:val="28"/>
        </w:rPr>
        <w:t xml:space="preserve">1% користувачів, ще </w:t>
      </w:r>
      <w:r w:rsidR="00C30C3B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771517">
        <w:rPr>
          <w:rFonts w:ascii="Times New Roman" w:hAnsi="Times New Roman" w:cs="Times New Roman"/>
          <w:color w:val="000000"/>
          <w:sz w:val="28"/>
          <w:szCs w:val="28"/>
        </w:rPr>
        <w:t>% користувачів не визначилися з відповіддю.</w:t>
      </w:r>
    </w:p>
    <w:p w:rsidR="00523FC9" w:rsidRDefault="00523FC9" w:rsidP="00645BF7">
      <w:pPr>
        <w:pStyle w:val="Default"/>
        <w:rPr>
          <w:b/>
          <w:bCs/>
          <w:sz w:val="28"/>
          <w:szCs w:val="28"/>
        </w:rPr>
      </w:pPr>
    </w:p>
    <w:p w:rsidR="000E3F53" w:rsidRDefault="00F7616B" w:rsidP="00BC65F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531E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BC65F9" w:rsidRPr="00531E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31E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Своєчасність та пунктуальність</w:t>
      </w:r>
    </w:p>
    <w:p w:rsidR="000E3F53" w:rsidRDefault="000E3F53" w:rsidP="0047202E">
      <w:pPr>
        <w:pStyle w:val="Default"/>
        <w:jc w:val="center"/>
        <w:rPr>
          <w:b/>
          <w:bCs/>
          <w:sz w:val="28"/>
          <w:szCs w:val="28"/>
        </w:rPr>
      </w:pPr>
    </w:p>
    <w:p w:rsidR="0042050D" w:rsidRPr="000E3F53" w:rsidRDefault="0042050D" w:rsidP="004205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3F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Своєчасність та пунктуальність – статистичні дані повинні поширюватися своєчасно зі встановленою періодичністю. </w:t>
      </w:r>
    </w:p>
    <w:p w:rsidR="00091A09" w:rsidRPr="00F24DD7" w:rsidRDefault="00091A09" w:rsidP="00091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4DD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Своєчасність характеризує інтервал часу між моментом (періодом), у якому відбувалося явище або процес, що описують статистичні дані, та датою готовності (подання) цих даних. </w:t>
      </w:r>
    </w:p>
    <w:p w:rsidR="00091A09" w:rsidRPr="00F24DD7" w:rsidRDefault="00091A09" w:rsidP="00091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4DD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Пунктуальність характеризує проміжок часу між запланованою та фактичною датами публікації даних. </w:t>
      </w:r>
    </w:p>
    <w:p w:rsidR="000E3F53" w:rsidRPr="000E3F53" w:rsidRDefault="000E3F53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F53">
        <w:rPr>
          <w:rFonts w:ascii="Times New Roman" w:hAnsi="Times New Roman" w:cs="Times New Roman"/>
          <w:color w:val="000000"/>
          <w:sz w:val="28"/>
          <w:szCs w:val="28"/>
        </w:rPr>
        <w:t>Статистична інформація за результатами О</w:t>
      </w:r>
      <w:r w:rsidR="00C60E3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ПП оприлюднюється згідно з планом державних статистичних спостережень і порядком її розміщення на веб-сайті Держстату. </w:t>
      </w:r>
    </w:p>
    <w:p w:rsidR="000E3F53" w:rsidRPr="000E3F53" w:rsidRDefault="000E3F53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F5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Дані надаються користувачам в електронному</w:t>
      </w:r>
      <w:r w:rsidR="00F91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>формат</w:t>
      </w:r>
      <w:r w:rsidR="00F915BC">
        <w:rPr>
          <w:rFonts w:ascii="Times New Roman" w:hAnsi="Times New Roman" w:cs="Times New Roman"/>
          <w:color w:val="000000"/>
          <w:sz w:val="28"/>
          <w:szCs w:val="28"/>
        </w:rPr>
        <w:t>і та на паперових носіях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 xml:space="preserve"> (у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>рахову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>ючи збірник)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44841" w:rsidRDefault="00F915BC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A16">
        <w:rPr>
          <w:rFonts w:ascii="Times New Roman" w:hAnsi="Times New Roman" w:cs="Times New Roman"/>
          <w:color w:val="000000"/>
          <w:sz w:val="28"/>
          <w:szCs w:val="28"/>
        </w:rPr>
        <w:t>Терміни підготовки статистичних видань за результатами О</w:t>
      </w:r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905A16">
        <w:rPr>
          <w:rFonts w:ascii="Times New Roman" w:hAnsi="Times New Roman" w:cs="Times New Roman"/>
          <w:color w:val="000000"/>
          <w:sz w:val="28"/>
          <w:szCs w:val="28"/>
        </w:rPr>
        <w:t xml:space="preserve">П наведено 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05A16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календарі </w:t>
      </w:r>
      <w:r>
        <w:rPr>
          <w:rFonts w:ascii="Times New Roman" w:hAnsi="Times New Roman" w:cs="Times New Roman"/>
          <w:color w:val="000000"/>
          <w:sz w:val="28"/>
          <w:szCs w:val="28"/>
        </w:rPr>
        <w:t>оприлюдн</w:t>
      </w:r>
      <w:r w:rsidRPr="00905A16">
        <w:rPr>
          <w:rFonts w:ascii="Times New Roman" w:hAnsi="Times New Roman" w:cs="Times New Roman"/>
          <w:color w:val="000000"/>
          <w:sz w:val="28"/>
          <w:szCs w:val="28"/>
        </w:rPr>
        <w:t xml:space="preserve">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публікацій</w:t>
      </w:r>
      <w:r w:rsidRPr="00905A16">
        <w:rPr>
          <w:rFonts w:ascii="Times New Roman" w:hAnsi="Times New Roman" w:cs="Times New Roman"/>
          <w:color w:val="000000"/>
          <w:sz w:val="28"/>
          <w:szCs w:val="28"/>
        </w:rPr>
        <w:t xml:space="preserve"> Держстату, який розміщено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905A16">
        <w:rPr>
          <w:rFonts w:ascii="Times New Roman" w:eastAsia="Times New Roman" w:hAnsi="Times New Roman" w:cs="Times New Roman"/>
          <w:sz w:val="28"/>
          <w:szCs w:val="28"/>
          <w:lang w:eastAsia="uk-UA"/>
        </w:rPr>
        <w:t>а офіційному веб-сайті Держстату</w:t>
      </w:r>
      <w:r w:rsidRPr="00905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A16">
        <w:rPr>
          <w:rFonts w:ascii="Times New Roman" w:eastAsia="Times New Roman" w:hAnsi="Times New Roman" w:cs="Times New Roman"/>
          <w:sz w:val="28"/>
          <w:szCs w:val="28"/>
          <w:lang w:eastAsia="uk-UA"/>
        </w:rPr>
        <w:t>(www.ukrstat.gov.ua)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05A16">
        <w:rPr>
          <w:rFonts w:ascii="Times New Roman" w:hAnsi="Times New Roman" w:cs="Times New Roman"/>
          <w:color w:val="000000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905A16">
        <w:rPr>
          <w:rFonts w:ascii="Times New Roman" w:hAnsi="Times New Roman" w:cs="Times New Roman"/>
          <w:color w:val="000000"/>
          <w:sz w:val="28"/>
          <w:szCs w:val="28"/>
        </w:rPr>
        <w:t xml:space="preserve"> "Публікації"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1873" w:rsidRPr="0085788D" w:rsidRDefault="00F01873" w:rsidP="00F01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Період проведення статистичного спостереження, що тривав 9 місяців, і терміни оприлюднення інформації за його результатами регламентовані Постановою Ради ЄС № 530/1999 від 9 березня 1999 року "Стосовно структурної статистики заробітків та витрат на робочу силу"</w:t>
      </w:r>
      <w:r w:rsidRPr="00E76E1D">
        <w:rPr>
          <w:rFonts w:ascii="Times New Roman" w:hAnsi="Times New Roman" w:cs="Times New Roman"/>
          <w:color w:val="000000"/>
          <w:sz w:val="28"/>
          <w:szCs w:val="28"/>
        </w:rPr>
        <w:t xml:space="preserve"> та іншими міжнародними стандартами з організації подібних обстежень</w:t>
      </w:r>
      <w:r>
        <w:rPr>
          <w:rFonts w:ascii="Times New Roman" w:hAnsi="Times New Roman" w:cs="Times New Roman"/>
          <w:color w:val="000000"/>
          <w:sz w:val="28"/>
          <w:szCs w:val="28"/>
        </w:rPr>
        <w:t>. Статистичний збірник "</w:t>
      </w:r>
      <w:r w:rsidRPr="0085788D">
        <w:rPr>
          <w:rFonts w:ascii="Times New Roman" w:hAnsi="Times New Roman" w:cs="Times New Roman"/>
          <w:color w:val="000000"/>
          <w:sz w:val="28"/>
          <w:szCs w:val="28"/>
        </w:rPr>
        <w:t>Заробітна плата за професійними групами у 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5788D">
        <w:rPr>
          <w:rFonts w:ascii="Times New Roman" w:hAnsi="Times New Roman" w:cs="Times New Roman"/>
          <w:color w:val="000000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color w:val="000000"/>
          <w:sz w:val="28"/>
          <w:szCs w:val="28"/>
        </w:rPr>
        <w:t>" був розміщений</w:t>
      </w:r>
      <w:r w:rsidRPr="00E76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а офіційному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веб-</w:t>
      </w: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сайті Держстату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5788D">
        <w:rPr>
          <w:rFonts w:ascii="Times New Roman" w:hAnsi="Times New Roman" w:cs="Times New Roman"/>
          <w:color w:val="000000"/>
          <w:sz w:val="28"/>
          <w:szCs w:val="28"/>
        </w:rPr>
        <w:t xml:space="preserve"> розділі </w:t>
      </w:r>
      <w:r>
        <w:rPr>
          <w:rFonts w:ascii="Times New Roman" w:hAnsi="Times New Roman" w:cs="Times New Roman"/>
          <w:color w:val="000000"/>
          <w:sz w:val="28"/>
          <w:szCs w:val="28"/>
        </w:rPr>
        <w:t>"Публікації"/"</w:t>
      </w:r>
      <w:r w:rsidRPr="00836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Ринок праці"/"</w:t>
      </w:r>
      <w:r w:rsidRPr="00836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Оплата праці та соціально-трудові відносини"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 грудня 2017 року.</w:t>
      </w:r>
    </w:p>
    <w:p w:rsidR="0047202E" w:rsidRDefault="0085788D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07D9">
        <w:rPr>
          <w:rFonts w:ascii="Times New Roman" w:hAnsi="Times New Roman" w:cs="Times New Roman"/>
          <w:color w:val="000000"/>
          <w:sz w:val="28"/>
          <w:szCs w:val="28"/>
        </w:rPr>
        <w:t xml:space="preserve">За даними опитування користувачів про рівень задоволення їх потреб в інформації за підсумками ОЗПП, 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="008707D9">
        <w:rPr>
          <w:rFonts w:ascii="Times New Roman" w:hAnsi="Times New Roman" w:cs="Times New Roman"/>
          <w:color w:val="000000"/>
          <w:sz w:val="28"/>
          <w:szCs w:val="28"/>
        </w:rPr>
        <w:t>% опитаних надали високу оцінку своєчасності та пунктуальності отримуваних показників (1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07D9">
        <w:rPr>
          <w:rFonts w:ascii="Times New Roman" w:hAnsi="Times New Roman" w:cs="Times New Roman"/>
          <w:color w:val="000000"/>
          <w:sz w:val="28"/>
          <w:szCs w:val="28"/>
        </w:rPr>
        <w:t xml:space="preserve">% – відмінно, 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8707D9">
        <w:rPr>
          <w:rFonts w:ascii="Times New Roman" w:hAnsi="Times New Roman" w:cs="Times New Roman"/>
          <w:color w:val="000000"/>
          <w:sz w:val="28"/>
          <w:szCs w:val="28"/>
        </w:rPr>
        <w:t xml:space="preserve">% – добре), 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8707D9">
        <w:rPr>
          <w:rFonts w:ascii="Times New Roman" w:hAnsi="Times New Roman" w:cs="Times New Roman"/>
          <w:color w:val="000000"/>
          <w:sz w:val="28"/>
          <w:szCs w:val="28"/>
        </w:rPr>
        <w:t>% оцінили</w:t>
      </w:r>
      <w:r w:rsidR="004E3E90">
        <w:rPr>
          <w:rFonts w:ascii="Times New Roman" w:hAnsi="Times New Roman" w:cs="Times New Roman"/>
          <w:color w:val="000000"/>
          <w:sz w:val="28"/>
          <w:szCs w:val="28"/>
        </w:rPr>
        <w:t xml:space="preserve"> задовільно, 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93587">
        <w:rPr>
          <w:rFonts w:ascii="Times New Roman" w:hAnsi="Times New Roman" w:cs="Times New Roman"/>
          <w:color w:val="000000"/>
          <w:sz w:val="28"/>
          <w:szCs w:val="28"/>
        </w:rPr>
        <w:t>% були незадоволені своєчасністю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 xml:space="preserve"> отримання</w:t>
      </w:r>
      <w:r w:rsidR="00293587"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інформації та 1</w:t>
      </w:r>
      <w:r w:rsidR="00F0187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93587">
        <w:rPr>
          <w:rFonts w:ascii="Times New Roman" w:hAnsi="Times New Roman" w:cs="Times New Roman"/>
          <w:color w:val="000000"/>
          <w:sz w:val="28"/>
          <w:szCs w:val="28"/>
        </w:rPr>
        <w:t>% не визначилися з відповіддю.</w:t>
      </w:r>
    </w:p>
    <w:p w:rsidR="00323DB8" w:rsidRPr="001F3024" w:rsidRDefault="00323DB8" w:rsidP="00F35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1383" w:rsidRDefault="00541383" w:rsidP="00F24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F24D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B821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Доступність</w:t>
      </w:r>
      <w:r w:rsidRPr="00B821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зрозумілість</w:t>
      </w:r>
    </w:p>
    <w:p w:rsidR="00541383" w:rsidRDefault="00541383" w:rsidP="00541383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2D2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586696" w:rsidRPr="00C14D0D" w:rsidRDefault="00586696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>Доступність статистичних продуктів показує, наскільки легко користувачі можуть отримати дані</w:t>
      </w:r>
      <w:r w:rsidR="009612BE" w:rsidRPr="00C14D0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581CF7" w:rsidRPr="00C14D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612BE" w:rsidRPr="00C14D0D">
        <w:rPr>
          <w:rFonts w:ascii="Times New Roman" w:hAnsi="Times New Roman" w:cs="Times New Roman"/>
          <w:i/>
          <w:color w:val="000000"/>
          <w:sz w:val="28"/>
          <w:szCs w:val="28"/>
        </w:rPr>
        <w:t>Вона</w:t>
      </w:r>
      <w:r w:rsidR="00581CF7" w:rsidRPr="00C14D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залежить</w:t>
      </w:r>
      <w:r w:rsidR="00F24DD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від</w:t>
      </w: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способ</w:t>
      </w:r>
      <w:r w:rsidR="009612BE" w:rsidRPr="00C14D0D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та місця отримання даних, процедури замовлення, час</w:t>
      </w:r>
      <w:r w:rsidR="009612BE" w:rsidRPr="00C14D0D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>, необхідн</w:t>
      </w:r>
      <w:r w:rsidR="009612BE" w:rsidRPr="00C14D0D">
        <w:rPr>
          <w:rFonts w:ascii="Times New Roman" w:hAnsi="Times New Roman" w:cs="Times New Roman"/>
          <w:i/>
          <w:color w:val="000000"/>
          <w:sz w:val="28"/>
          <w:szCs w:val="28"/>
        </w:rPr>
        <w:t>ого</w:t>
      </w: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виконання замовлень, політик</w:t>
      </w:r>
      <w:r w:rsidR="009612BE" w:rsidRPr="00C14D0D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ціноутворення, формат</w:t>
      </w:r>
      <w:r w:rsidR="009612BE" w:rsidRPr="00C14D0D">
        <w:rPr>
          <w:rFonts w:ascii="Times New Roman" w:hAnsi="Times New Roman" w:cs="Times New Roman"/>
          <w:i/>
          <w:color w:val="000000"/>
          <w:sz w:val="28"/>
          <w:szCs w:val="28"/>
        </w:rPr>
        <w:t>у даних</w:t>
      </w: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тощо.</w:t>
      </w:r>
    </w:p>
    <w:p w:rsidR="00586696" w:rsidRDefault="00586696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14D0D">
        <w:rPr>
          <w:rFonts w:ascii="Times New Roman" w:hAnsi="Times New Roman" w:cs="Times New Roman"/>
          <w:i/>
          <w:color w:val="000000"/>
          <w:sz w:val="28"/>
          <w:szCs w:val="28"/>
        </w:rPr>
        <w:t>Зрозумілість/Ясність статистичних продуктів показує, наскільки легко користувачі можуть зрозуміти дані. Вона характеризує інформаційне середовище даних: наявність та якість метаданих, що надаються зі статистичними даними (текстова інформація, пояснення, документація та ін.), ілюстрації (діаграми, мапи, схеми та ін.), наявність пояснень щодо якості даних (включаючи обмеження у використанні) та відомості про те, наскільки виробник готовий надати додаткову допомогу (супровід даних).</w:t>
      </w:r>
    </w:p>
    <w:p w:rsidR="00404C9E" w:rsidRPr="00404C9E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D2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 </w:t>
      </w:r>
      <w:r w:rsidR="009612BE" w:rsidRPr="00A00D21">
        <w:rPr>
          <w:rFonts w:ascii="Times New Roman" w:hAnsi="Times New Roman" w:cs="Times New Roman"/>
          <w:color w:val="000000"/>
          <w:sz w:val="28"/>
          <w:szCs w:val="28"/>
        </w:rPr>
        <w:t xml:space="preserve">ОЗПП </w:t>
      </w:r>
      <w:r w:rsidRPr="00A00D21">
        <w:rPr>
          <w:rFonts w:ascii="Times New Roman" w:hAnsi="Times New Roman" w:cs="Times New Roman"/>
          <w:color w:val="000000"/>
          <w:sz w:val="28"/>
          <w:szCs w:val="28"/>
        </w:rPr>
        <w:t xml:space="preserve">надаються користувачам 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>на паперових носіях</w:t>
      </w:r>
      <w:r w:rsidRPr="00A00D2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67F7" w:rsidRPr="00A00D21">
        <w:rPr>
          <w:rFonts w:ascii="Times New Roman" w:hAnsi="Times New Roman" w:cs="Times New Roman"/>
          <w:color w:val="000000"/>
          <w:sz w:val="28"/>
          <w:szCs w:val="28"/>
        </w:rPr>
        <w:t>статистичний</w:t>
      </w:r>
      <w:r w:rsidR="007467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збірник) та </w:t>
      </w:r>
      <w:r w:rsidR="00746D2E" w:rsidRPr="000E3F53">
        <w:rPr>
          <w:rFonts w:ascii="Times New Roman" w:hAnsi="Times New Roman" w:cs="Times New Roman"/>
          <w:color w:val="000000"/>
          <w:sz w:val="28"/>
          <w:szCs w:val="28"/>
        </w:rPr>
        <w:t>в електронному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 xml:space="preserve"> форматі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Користувачам доступна вся інформація, що отримується за результатами 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обстеження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, але з урахуванням обмежень, пов’язаних з дотриманням вимог забезпечення конфіденційності первинної інформації. </w:t>
      </w:r>
    </w:p>
    <w:p w:rsidR="00404C9E" w:rsidRPr="00404C9E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Контакти для отримання додаткової інформації щодо результатів 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обстеження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>, відповідного методико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методологічного забезпечення, а також довідок щодо умов розповсюдження його результатів: </w:t>
      </w:r>
    </w:p>
    <w:p w:rsidR="00404C9E" w:rsidRPr="00404C9E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t>адреса: 01601, м.</w:t>
      </w:r>
      <w:r w:rsidR="00746D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Київ, МСП, вул. Шота Руставелі, 3 </w:t>
      </w:r>
    </w:p>
    <w:p w:rsidR="00404C9E" w:rsidRPr="00404C9E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t>телефони: 287-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>, 2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35-00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82</w:t>
      </w:r>
      <w:r w:rsidR="00A00D21">
        <w:rPr>
          <w:rFonts w:ascii="Times New Roman" w:hAnsi="Times New Roman" w:cs="Times New Roman"/>
          <w:color w:val="000000"/>
          <w:sz w:val="28"/>
          <w:szCs w:val="28"/>
        </w:rPr>
        <w:t>, 287-70-33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4C9E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факс: 235-37-39 </w:t>
      </w:r>
    </w:p>
    <w:p w:rsidR="00404C9E" w:rsidRPr="00404C9E" w:rsidRDefault="00404C9E" w:rsidP="0024484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t>електронна пошта: office@ukrstat.gov.ua</w:t>
      </w:r>
      <w:r w:rsidR="00A00D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0D21" w:rsidRPr="00A00D21">
        <w:rPr>
          <w:rFonts w:ascii="Times New Roman" w:hAnsi="Times New Roman" w:cs="Times New Roman"/>
          <w:color w:val="000000"/>
          <w:sz w:val="28"/>
          <w:szCs w:val="28"/>
        </w:rPr>
        <w:t>T.Bochkareva</w:t>
      </w:r>
      <w:r w:rsidR="00A00D21" w:rsidRPr="00B4222D">
        <w:rPr>
          <w:rFonts w:ascii="Times New Roman" w:hAnsi="Times New Roman" w:cs="Times New Roman"/>
          <w:color w:val="000000"/>
          <w:sz w:val="28"/>
          <w:szCs w:val="28"/>
        </w:rPr>
        <w:t>@ukrstat.gov.ua</w:t>
      </w:r>
    </w:p>
    <w:p w:rsidR="00404C9E" w:rsidRPr="00404C9E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Інтернеті: http://www.ukrstat.gov.ua/ </w:t>
      </w:r>
    </w:p>
    <w:p w:rsidR="007040E9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результатами ОЗПП</w:t>
      </w:r>
      <w:r w:rsidR="004F0018">
        <w:rPr>
          <w:rFonts w:ascii="Times New Roman" w:hAnsi="Times New Roman" w:cs="Times New Roman"/>
          <w:color w:val="000000"/>
          <w:sz w:val="28"/>
          <w:szCs w:val="28"/>
        </w:rPr>
        <w:t xml:space="preserve"> готується збірник "</w:t>
      </w:r>
      <w:r w:rsidR="00B4222D" w:rsidRPr="0085788D">
        <w:rPr>
          <w:rFonts w:ascii="Times New Roman" w:hAnsi="Times New Roman" w:cs="Times New Roman"/>
          <w:color w:val="000000"/>
          <w:sz w:val="28"/>
          <w:szCs w:val="28"/>
        </w:rPr>
        <w:t>Заробітн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а плата за професійними групами</w:t>
      </w:r>
      <w:r w:rsidR="004F001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4222D">
        <w:rPr>
          <w:rFonts w:ascii="Times New Roman" w:hAnsi="Times New Roman" w:cs="Times New Roman"/>
          <w:color w:val="000000"/>
          <w:sz w:val="28"/>
          <w:szCs w:val="28"/>
        </w:rPr>
        <w:t>, в якому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наведені методологічні пояснення щодо програми </w:t>
      </w:r>
      <w:r w:rsidR="00096CC1">
        <w:rPr>
          <w:rFonts w:ascii="Times New Roman" w:hAnsi="Times New Roman" w:cs="Times New Roman"/>
          <w:color w:val="000000"/>
          <w:sz w:val="28"/>
          <w:szCs w:val="28"/>
        </w:rPr>
        <w:t>ОЗПП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96CC1">
        <w:rPr>
          <w:rFonts w:ascii="Times New Roman" w:hAnsi="Times New Roman" w:cs="Times New Roman"/>
          <w:color w:val="000000"/>
          <w:sz w:val="28"/>
          <w:szCs w:val="28"/>
        </w:rPr>
        <w:t xml:space="preserve">процедури формування вибіркової сукупності,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оцінки якості даних, а також методичні пояснення щодо основних </w:t>
      </w:r>
      <w:r w:rsidR="00096CC1">
        <w:rPr>
          <w:rFonts w:ascii="Times New Roman" w:hAnsi="Times New Roman" w:cs="Times New Roman"/>
          <w:color w:val="000000"/>
          <w:sz w:val="28"/>
          <w:szCs w:val="28"/>
        </w:rPr>
        <w:t xml:space="preserve">понять та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термінів. Відповідно до діючого порядку </w:t>
      </w:r>
      <w:r w:rsidR="00903C86">
        <w:rPr>
          <w:rFonts w:ascii="Times New Roman" w:hAnsi="Times New Roman" w:cs="Times New Roman"/>
          <w:color w:val="000000"/>
          <w:sz w:val="28"/>
          <w:szCs w:val="28"/>
        </w:rPr>
        <w:t>на паперових носіях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готується певна кількість публікацій, які надаються безкоштовно органам законодавчої, виконавчої влади, профільним науковим установам та навчальним закладам, а також у бібліотеки за переліком розсилки. </w:t>
      </w:r>
      <w:r w:rsidR="0094629C">
        <w:rPr>
          <w:rFonts w:ascii="Times New Roman" w:hAnsi="Times New Roman" w:cs="Times New Roman"/>
          <w:color w:val="000000"/>
          <w:sz w:val="28"/>
          <w:szCs w:val="28"/>
        </w:rPr>
        <w:t xml:space="preserve">Крім того, збірник підготовлений в електронному </w:t>
      </w:r>
      <w:r w:rsidR="00903C86">
        <w:rPr>
          <w:rFonts w:ascii="Times New Roman" w:hAnsi="Times New Roman" w:cs="Times New Roman"/>
          <w:color w:val="000000"/>
          <w:sz w:val="28"/>
          <w:szCs w:val="28"/>
        </w:rPr>
        <w:t>формат</w:t>
      </w:r>
      <w:r w:rsidR="0094629C">
        <w:rPr>
          <w:rFonts w:ascii="Times New Roman" w:hAnsi="Times New Roman" w:cs="Times New Roman"/>
          <w:color w:val="000000"/>
          <w:sz w:val="28"/>
          <w:szCs w:val="28"/>
        </w:rPr>
        <w:t>і та розміщений на офіційному</w:t>
      </w:r>
      <w:r w:rsidR="00CD6423" w:rsidRPr="00CD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29C">
        <w:rPr>
          <w:rFonts w:ascii="Times New Roman" w:hAnsi="Times New Roman" w:cs="Times New Roman"/>
          <w:color w:val="000000"/>
          <w:sz w:val="28"/>
          <w:szCs w:val="28"/>
        </w:rPr>
        <w:t>веб-сайті</w:t>
      </w:r>
      <w:r w:rsidR="00CD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29C">
        <w:rPr>
          <w:rFonts w:ascii="Times New Roman" w:hAnsi="Times New Roman" w:cs="Times New Roman"/>
          <w:color w:val="000000"/>
          <w:sz w:val="28"/>
          <w:szCs w:val="28"/>
        </w:rPr>
        <w:t>Держстату</w:t>
      </w:r>
      <w:r w:rsidR="00C90C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77F" w:rsidRPr="00C14D0D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2" w:history="1">
        <w:r w:rsidR="00CD6423" w:rsidRPr="00CD6423">
          <w:rPr>
            <w:rStyle w:val="afa"/>
            <w:rFonts w:ascii="Times New Roman" w:hAnsi="Times New Roman" w:cs="Times New Roman"/>
            <w:color w:val="auto"/>
            <w:sz w:val="28"/>
            <w:szCs w:val="28"/>
            <w:u w:val="none"/>
          </w:rPr>
          <w:t>http://ukrstat.gov.ua/druk/</w:t>
        </w:r>
      </w:hyperlink>
      <w:r w:rsidR="00CD6423" w:rsidRPr="00CD6423">
        <w:rPr>
          <w:rFonts w:ascii="Times New Roman" w:hAnsi="Times New Roman" w:cs="Times New Roman"/>
          <w:color w:val="000000"/>
          <w:sz w:val="28"/>
          <w:szCs w:val="28"/>
        </w:rPr>
        <w:t>publicat/kat_u/2017/</w:t>
      </w:r>
      <w:r w:rsidR="00903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6423" w:rsidRPr="00CD6423">
        <w:rPr>
          <w:rFonts w:ascii="Times New Roman" w:hAnsi="Times New Roman" w:cs="Times New Roman"/>
          <w:color w:val="000000"/>
          <w:sz w:val="28"/>
          <w:szCs w:val="28"/>
        </w:rPr>
        <w:t>zb</w:t>
      </w:r>
      <w:proofErr w:type="spellEnd"/>
      <w:r w:rsidR="00CD6423" w:rsidRPr="00CD6423">
        <w:rPr>
          <w:rFonts w:ascii="Times New Roman" w:hAnsi="Times New Roman" w:cs="Times New Roman"/>
          <w:color w:val="000000"/>
          <w:sz w:val="28"/>
          <w:szCs w:val="28"/>
        </w:rPr>
        <w:t>/12/zb_zppg2016w.zip</w:t>
      </w:r>
      <w:r w:rsidR="00C2577F" w:rsidRPr="00C14D0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257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190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04C9E">
        <w:rPr>
          <w:rFonts w:ascii="Times New Roman" w:hAnsi="Times New Roman" w:cs="Times New Roman"/>
          <w:color w:val="000000"/>
          <w:sz w:val="28"/>
          <w:szCs w:val="28"/>
        </w:rPr>
        <w:t>Мікродані</w:t>
      </w:r>
      <w:proofErr w:type="spellEnd"/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>за результатами спостереження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у вигляді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 xml:space="preserve"> файлів </w:t>
      </w:r>
      <w:proofErr w:type="spellStart"/>
      <w:r w:rsidRPr="00404C9E">
        <w:rPr>
          <w:rFonts w:ascii="Times New Roman" w:hAnsi="Times New Roman" w:cs="Times New Roman"/>
          <w:color w:val="000000"/>
          <w:sz w:val="28"/>
          <w:szCs w:val="28"/>
        </w:rPr>
        <w:t>мікро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5F619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903C86">
        <w:rPr>
          <w:rFonts w:ascii="Times New Roman" w:hAnsi="Times New Roman" w:cs="Times New Roman"/>
          <w:color w:val="000000"/>
          <w:sz w:val="28"/>
          <w:szCs w:val="28"/>
        </w:rPr>
        <w:t>цей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 xml:space="preserve"> час не </w:t>
      </w:r>
      <w:r w:rsidR="00903C86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>ються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45B41" w:rsidRDefault="00404C9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За даними 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 xml:space="preserve">анкетного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>опитування користувачів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статистичної інформації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>рівень задоволення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їх потреб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 xml:space="preserve"> в інформації за підсумками ОЗПП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, високу оцінку доступності </w:t>
      </w:r>
      <w:r w:rsidR="00ED3CAE">
        <w:rPr>
          <w:rFonts w:ascii="Times New Roman" w:hAnsi="Times New Roman" w:cs="Times New Roman"/>
          <w:color w:val="000000"/>
          <w:sz w:val="28"/>
          <w:szCs w:val="28"/>
        </w:rPr>
        <w:t xml:space="preserve">(зрозумілості, ясності)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результатів обстеження </w:t>
      </w:r>
      <w:r w:rsidR="00EF6148">
        <w:rPr>
          <w:rFonts w:ascii="Times New Roman" w:hAnsi="Times New Roman" w:cs="Times New Roman"/>
          <w:color w:val="000000"/>
          <w:sz w:val="28"/>
          <w:szCs w:val="28"/>
        </w:rPr>
        <w:t>постави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ли 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D49B7" w:rsidRPr="006D49B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опитаних 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>користувачів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49B7" w:rsidRPr="006D49B7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5F6190">
        <w:rPr>
          <w:rFonts w:ascii="Times New Roman" w:hAnsi="Times New Roman" w:cs="Times New Roman"/>
          <w:color w:val="000000"/>
          <w:sz w:val="28"/>
          <w:szCs w:val="28"/>
        </w:rPr>
        <w:t xml:space="preserve">% користувачів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>оцінили її як задовільну</w:t>
      </w:r>
      <w:r w:rsidR="006D49B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49B7">
        <w:rPr>
          <w:rFonts w:ascii="Times New Roman" w:hAnsi="Times New Roman" w:cs="Times New Roman"/>
          <w:color w:val="000000"/>
          <w:sz w:val="28"/>
          <w:szCs w:val="28"/>
        </w:rPr>
        <w:t xml:space="preserve">1% були незадоволені </w:t>
      </w:r>
      <w:r w:rsidR="006D49B7" w:rsidRPr="00404C9E">
        <w:rPr>
          <w:rFonts w:ascii="Times New Roman" w:hAnsi="Times New Roman" w:cs="Times New Roman"/>
          <w:color w:val="000000"/>
          <w:sz w:val="28"/>
          <w:szCs w:val="28"/>
        </w:rPr>
        <w:t>доступн</w:t>
      </w:r>
      <w:r w:rsidR="006D49B7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6D49B7" w:rsidRPr="00404C9E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6D49B7">
        <w:rPr>
          <w:rFonts w:ascii="Times New Roman" w:hAnsi="Times New Roman" w:cs="Times New Roman"/>
          <w:color w:val="000000"/>
          <w:sz w:val="28"/>
          <w:szCs w:val="28"/>
        </w:rPr>
        <w:t>ю інформації</w:t>
      </w:r>
      <w:r w:rsidR="006D49B7"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D49B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04C9E">
        <w:rPr>
          <w:rFonts w:ascii="Times New Roman" w:hAnsi="Times New Roman" w:cs="Times New Roman"/>
          <w:color w:val="000000"/>
          <w:sz w:val="28"/>
          <w:szCs w:val="28"/>
        </w:rPr>
        <w:t>% не визначилися з відповіддю.</w:t>
      </w:r>
    </w:p>
    <w:p w:rsidR="00D42C70" w:rsidRDefault="00D42C70" w:rsidP="00404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2C70" w:rsidRDefault="00D42C70" w:rsidP="00002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4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7F641E" w:rsidRPr="00C54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C54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Послідовність/Узгодженість та Зіставність/Порівнянність</w:t>
      </w:r>
    </w:p>
    <w:p w:rsidR="00D42C70" w:rsidRPr="00887EE9" w:rsidRDefault="00D42C70" w:rsidP="00404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87EE9" w:rsidRPr="00D91A35" w:rsidRDefault="00887EE9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91A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Послідовність/Узгодженість двох або більше статистичних продуктів показує, наскільки </w:t>
      </w:r>
      <w:r w:rsidR="00C3499E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D91A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статистичних процесах, у рамках яких вони вироблялися, використовували однакові концепції, класифікації, </w:t>
      </w:r>
      <w:r w:rsidR="00C3499E">
        <w:rPr>
          <w:rFonts w:ascii="Times New Roman" w:hAnsi="Times New Roman" w:cs="Times New Roman"/>
          <w:i/>
          <w:color w:val="000000"/>
          <w:sz w:val="28"/>
          <w:szCs w:val="28"/>
        </w:rPr>
        <w:t>визначення,</w:t>
      </w:r>
      <w:r w:rsidRPr="00D91A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сукупності, що вивчаються</w:t>
      </w:r>
      <w:r w:rsidR="00C3499E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91A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та гармонізовані методи. Послідовні статистичні продукти дозволяється об’єднувати і використовувати спільно.</w:t>
      </w:r>
    </w:p>
    <w:p w:rsidR="00887EE9" w:rsidRDefault="00887EE9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91A35">
        <w:rPr>
          <w:rFonts w:ascii="Times New Roman" w:hAnsi="Times New Roman" w:cs="Times New Roman"/>
          <w:i/>
          <w:color w:val="000000"/>
          <w:sz w:val="28"/>
          <w:szCs w:val="28"/>
        </w:rPr>
        <w:t>Зіставність/Порівнянність є окремим випадком послідовності, коли статистичні продукти відносяться до тих самих об’єктів даних, а мета їх об’єднання – зробити порівняння у часі або за регіонами, чи за іншими сферами діяльності.</w:t>
      </w:r>
    </w:p>
    <w:p w:rsidR="00887EE9" w:rsidRPr="00887EE9" w:rsidRDefault="00887EE9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Властивість порівнянності даних є результатом дії </w:t>
      </w:r>
      <w:r w:rsidR="0020055C">
        <w:rPr>
          <w:rFonts w:ascii="Times New Roman" w:hAnsi="Times New Roman" w:cs="Times New Roman"/>
          <w:color w:val="000000"/>
          <w:sz w:val="28"/>
          <w:szCs w:val="28"/>
        </w:rPr>
        <w:t xml:space="preserve">цілого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ряду чинників, основні</w:t>
      </w:r>
      <w:r w:rsidR="00200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з яких можуть бути об’єднані у дві групи: концепції обстеження та методологія</w:t>
      </w:r>
      <w:r w:rsidR="00200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вимірювання.</w:t>
      </w:r>
    </w:p>
    <w:p w:rsidR="00887EE9" w:rsidRPr="00887EE9" w:rsidRDefault="00887EE9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Група концепцій 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 xml:space="preserve">спостереження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включає такі елементи, як система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показників (їх зміст, визначення), одиниці спостереження, генеральна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сукупність, основа вибірки, звітний період та періодичність 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>спостереження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географічне охоплення, міжнародні та національні стандарти, що застосовують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 xml:space="preserve"> спостереженні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тощо.</w:t>
      </w:r>
    </w:p>
    <w:p w:rsidR="00887EE9" w:rsidRPr="00887EE9" w:rsidRDefault="00887EE9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t>Група методології включає дизайн вибірки, методи збору та обробки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даних, оцінювання показників та ін.</w:t>
      </w:r>
    </w:p>
    <w:p w:rsidR="0018242D" w:rsidRPr="00887EE9" w:rsidRDefault="0018242D" w:rsidP="001824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t>Основні концепції та визначення, що використовуються в О</w:t>
      </w:r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П,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цілому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відповідають вимогам та рекомендаціям, прийнятим в міжнародній статистичній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практиці.</w:t>
      </w:r>
    </w:p>
    <w:p w:rsidR="00887EE9" w:rsidRPr="00887EE9" w:rsidRDefault="00887EE9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здійсненні порівнянь результатів О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П за р</w:t>
      </w:r>
      <w:r w:rsidR="0018242D">
        <w:rPr>
          <w:rFonts w:ascii="Times New Roman" w:hAnsi="Times New Roman" w:cs="Times New Roman"/>
          <w:color w:val="000000"/>
          <w:sz w:val="28"/>
          <w:szCs w:val="28"/>
        </w:rPr>
        <w:t>егі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онами,</w:t>
      </w:r>
      <w:r w:rsidR="000E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угрупуваннями або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часі слід</w:t>
      </w:r>
      <w:r w:rsidR="0018242D">
        <w:rPr>
          <w:rFonts w:ascii="Times New Roman" w:hAnsi="Times New Roman" w:cs="Times New Roman"/>
          <w:color w:val="000000"/>
          <w:sz w:val="28"/>
          <w:szCs w:val="28"/>
        </w:rPr>
        <w:t xml:space="preserve"> ураховувати</w:t>
      </w:r>
      <w:r w:rsidR="00C16358">
        <w:rPr>
          <w:rFonts w:ascii="Times New Roman" w:hAnsi="Times New Roman" w:cs="Times New Roman"/>
          <w:color w:val="000000"/>
          <w:sz w:val="28"/>
          <w:szCs w:val="28"/>
        </w:rPr>
        <w:t xml:space="preserve"> його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242D">
        <w:rPr>
          <w:rFonts w:ascii="Times New Roman" w:hAnsi="Times New Roman" w:cs="Times New Roman"/>
          <w:color w:val="000000"/>
          <w:sz w:val="28"/>
          <w:szCs w:val="28"/>
        </w:rPr>
        <w:t>періодичніст</w:t>
      </w:r>
      <w:r w:rsidR="00C1635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82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635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8242D">
        <w:rPr>
          <w:rFonts w:ascii="Times New Roman" w:hAnsi="Times New Roman" w:cs="Times New Roman"/>
          <w:color w:val="000000"/>
          <w:sz w:val="28"/>
          <w:szCs w:val="28"/>
        </w:rPr>
        <w:t>один раз на чотири роки</w:t>
      </w:r>
      <w:r w:rsidR="00C16358">
        <w:rPr>
          <w:rFonts w:ascii="Times New Roman" w:hAnsi="Times New Roman" w:cs="Times New Roman"/>
          <w:color w:val="000000"/>
          <w:sz w:val="28"/>
          <w:szCs w:val="28"/>
        </w:rPr>
        <w:t>) та рівні надійності даних (коефіцієнти варіації, граничні похибки вибірки)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DFE" w:rsidRPr="00095DFE" w:rsidRDefault="00095DFE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DFE">
        <w:rPr>
          <w:rFonts w:ascii="Times New Roman" w:hAnsi="Times New Roman" w:cs="Times New Roman"/>
          <w:color w:val="000000"/>
          <w:sz w:val="28"/>
          <w:szCs w:val="28"/>
        </w:rPr>
        <w:t>Окремі показники, отримані в результаті ОЗПП</w:t>
      </w:r>
      <w:r w:rsidR="0021281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95DFE">
        <w:rPr>
          <w:rFonts w:ascii="Times New Roman" w:hAnsi="Times New Roman" w:cs="Times New Roman"/>
          <w:color w:val="000000"/>
          <w:sz w:val="28"/>
          <w:szCs w:val="28"/>
        </w:rPr>
        <w:t xml:space="preserve"> за визначенням с</w:t>
      </w:r>
      <w:r w:rsidR="001C4A91">
        <w:rPr>
          <w:rFonts w:ascii="Times New Roman" w:hAnsi="Times New Roman" w:cs="Times New Roman"/>
          <w:color w:val="000000"/>
          <w:sz w:val="28"/>
          <w:szCs w:val="28"/>
        </w:rPr>
        <w:t xml:space="preserve">півпадають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C4A91">
        <w:rPr>
          <w:rFonts w:ascii="Times New Roman" w:hAnsi="Times New Roman" w:cs="Times New Roman"/>
          <w:color w:val="000000"/>
          <w:sz w:val="28"/>
          <w:szCs w:val="28"/>
        </w:rPr>
        <w:t>з результатами державного статистичного спостереження "</w:t>
      </w:r>
      <w:r w:rsidRPr="00095DFE">
        <w:rPr>
          <w:rFonts w:ascii="Times New Roman" w:hAnsi="Times New Roman" w:cs="Times New Roman"/>
          <w:color w:val="000000"/>
          <w:sz w:val="28"/>
          <w:szCs w:val="28"/>
        </w:rPr>
        <w:t>Обстеження підприємств із питань статистики праці</w:t>
      </w:r>
      <w:r w:rsidR="001C4A9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95DFE">
        <w:rPr>
          <w:rFonts w:ascii="Times New Roman" w:hAnsi="Times New Roman" w:cs="Times New Roman"/>
          <w:color w:val="000000"/>
          <w:sz w:val="28"/>
          <w:szCs w:val="28"/>
        </w:rPr>
        <w:t xml:space="preserve"> (далі – ОПСП). Результати ОПСП є основним джерелом даних щодо заробітної плати найманих працівників. </w:t>
      </w:r>
      <w:r w:rsidR="00212818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95DFE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212818">
        <w:rPr>
          <w:rFonts w:ascii="Times New Roman" w:hAnsi="Times New Roman" w:cs="Times New Roman"/>
          <w:color w:val="000000"/>
          <w:sz w:val="28"/>
          <w:szCs w:val="28"/>
        </w:rPr>
        <w:t>спостереження</w:t>
      </w:r>
      <w:r w:rsidRPr="00095DFE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проводиться щомісячно, тому забезпечує найбільш актуальні та р</w:t>
      </w:r>
      <w:r w:rsidR="00684DF3">
        <w:rPr>
          <w:rFonts w:ascii="Times New Roman" w:hAnsi="Times New Roman" w:cs="Times New Roman"/>
          <w:color w:val="000000"/>
          <w:sz w:val="28"/>
          <w:szCs w:val="28"/>
        </w:rPr>
        <w:t xml:space="preserve">епрезентативні дані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84DF3">
        <w:rPr>
          <w:rFonts w:ascii="Times New Roman" w:hAnsi="Times New Roman" w:cs="Times New Roman"/>
          <w:color w:val="000000"/>
          <w:sz w:val="28"/>
          <w:szCs w:val="28"/>
        </w:rPr>
        <w:t xml:space="preserve"> цій сфері.</w:t>
      </w:r>
    </w:p>
    <w:p w:rsidR="00887EE9" w:rsidRPr="00887EE9" w:rsidRDefault="00887EE9" w:rsidP="00244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У таблиці </w:t>
      </w:r>
      <w:r w:rsidR="00C90CC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наведено порівняння результатів </w:t>
      </w:r>
      <w:r w:rsidR="009C40AC">
        <w:rPr>
          <w:rFonts w:ascii="Times New Roman" w:hAnsi="Times New Roman" w:cs="Times New Roman"/>
          <w:color w:val="000000"/>
          <w:sz w:val="28"/>
          <w:szCs w:val="28"/>
        </w:rPr>
        <w:t>двох спостережень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0CCC" w:rsidRDefault="00C90CCC" w:rsidP="00C014E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87EE9" w:rsidRDefault="00887EE9" w:rsidP="00C014E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Таблиця </w:t>
      </w:r>
      <w:r w:rsidR="00C90CCC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887EE9" w:rsidRPr="009C40AC" w:rsidRDefault="00887EE9" w:rsidP="009C4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0AC">
        <w:rPr>
          <w:rFonts w:ascii="Times New Roman" w:hAnsi="Times New Roman" w:cs="Times New Roman"/>
          <w:b/>
          <w:color w:val="000000"/>
          <w:sz w:val="28"/>
          <w:szCs w:val="28"/>
        </w:rPr>
        <w:t>Основні п</w:t>
      </w:r>
      <w:r w:rsidR="00C014E0" w:rsidRPr="009C40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оказники </w:t>
      </w:r>
      <w:r w:rsidR="009C40AC" w:rsidRPr="009C40AC">
        <w:rPr>
          <w:rFonts w:ascii="Times New Roman" w:hAnsi="Times New Roman" w:cs="Times New Roman"/>
          <w:b/>
          <w:color w:val="000000"/>
          <w:sz w:val="28"/>
          <w:szCs w:val="28"/>
        </w:rPr>
        <w:t>спостережень</w:t>
      </w:r>
      <w:r w:rsidR="00C014E0" w:rsidRPr="009C40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201</w:t>
      </w:r>
      <w:r w:rsidR="009C40AC" w:rsidRPr="009C40AC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014E0" w:rsidRPr="009C40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рік</w:t>
      </w:r>
    </w:p>
    <w:p w:rsidR="00C014E0" w:rsidRDefault="00C014E0" w:rsidP="00C014E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569"/>
        <w:gridCol w:w="1559"/>
        <w:gridCol w:w="1826"/>
        <w:gridCol w:w="1261"/>
      </w:tblGrid>
      <w:tr w:rsidR="00C014E0" w:rsidTr="00DE7FEE">
        <w:trPr>
          <w:jc w:val="center"/>
        </w:trPr>
        <w:tc>
          <w:tcPr>
            <w:tcW w:w="3397" w:type="dxa"/>
            <w:vMerge w:val="restart"/>
          </w:tcPr>
          <w:p w:rsidR="00C014E0" w:rsidRPr="00BF6E7A" w:rsidRDefault="00C014E0" w:rsidP="00C01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9" w:type="dxa"/>
            <w:vMerge w:val="restart"/>
            <w:vAlign w:val="center"/>
          </w:tcPr>
          <w:p w:rsidR="00C014E0" w:rsidRPr="00BF6E7A" w:rsidRDefault="00C014E0" w:rsidP="00F61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>ОЗПП</w:t>
            </w:r>
          </w:p>
        </w:tc>
        <w:tc>
          <w:tcPr>
            <w:tcW w:w="1559" w:type="dxa"/>
            <w:vMerge w:val="restart"/>
            <w:vAlign w:val="center"/>
          </w:tcPr>
          <w:p w:rsidR="00C014E0" w:rsidRPr="00BF6E7A" w:rsidRDefault="00C014E0" w:rsidP="00F61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>ОПСП</w:t>
            </w:r>
          </w:p>
        </w:tc>
        <w:tc>
          <w:tcPr>
            <w:tcW w:w="3087" w:type="dxa"/>
            <w:gridSpan w:val="2"/>
            <w:vAlign w:val="center"/>
          </w:tcPr>
          <w:p w:rsidR="00C014E0" w:rsidRPr="00BF6E7A" w:rsidRDefault="00C014E0" w:rsidP="00D40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 xml:space="preserve">Порівняння показників </w:t>
            </w:r>
            <w:r w:rsidR="00D40F1A" w:rsidRPr="00BF6E7A">
              <w:rPr>
                <w:rFonts w:ascii="Times New Roman" w:hAnsi="Times New Roman" w:cs="Times New Roman"/>
                <w:color w:val="000000"/>
              </w:rPr>
              <w:t xml:space="preserve">ОЗПП </w:t>
            </w:r>
            <w:r w:rsidRPr="00BF6E7A">
              <w:rPr>
                <w:rFonts w:ascii="Times New Roman" w:hAnsi="Times New Roman" w:cs="Times New Roman"/>
                <w:color w:val="000000"/>
              </w:rPr>
              <w:t xml:space="preserve">до ОПСП </w:t>
            </w:r>
          </w:p>
        </w:tc>
      </w:tr>
      <w:tr w:rsidR="00C014E0" w:rsidTr="00DE7FEE">
        <w:trPr>
          <w:jc w:val="center"/>
        </w:trPr>
        <w:tc>
          <w:tcPr>
            <w:tcW w:w="3397" w:type="dxa"/>
            <w:vMerge/>
          </w:tcPr>
          <w:p w:rsidR="00C014E0" w:rsidRPr="00BF6E7A" w:rsidRDefault="00C014E0" w:rsidP="00C01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9" w:type="dxa"/>
            <w:vMerge/>
            <w:vAlign w:val="center"/>
          </w:tcPr>
          <w:p w:rsidR="00C014E0" w:rsidRPr="00BF6E7A" w:rsidRDefault="00C014E0" w:rsidP="00F61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014E0" w:rsidRPr="00BF6E7A" w:rsidRDefault="00C014E0" w:rsidP="00F61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6" w:type="dxa"/>
            <w:vAlign w:val="center"/>
          </w:tcPr>
          <w:p w:rsidR="00C014E0" w:rsidRPr="00BF6E7A" w:rsidRDefault="00C014E0" w:rsidP="00F61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>в абсолютному вимірі</w:t>
            </w:r>
          </w:p>
        </w:tc>
        <w:tc>
          <w:tcPr>
            <w:tcW w:w="1261" w:type="dxa"/>
            <w:vAlign w:val="center"/>
          </w:tcPr>
          <w:p w:rsidR="00C014E0" w:rsidRPr="00BF6E7A" w:rsidRDefault="00C014E0" w:rsidP="00F61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DE7FEE" w:rsidTr="00DE7FEE">
        <w:trPr>
          <w:jc w:val="center"/>
        </w:trPr>
        <w:tc>
          <w:tcPr>
            <w:tcW w:w="3397" w:type="dxa"/>
          </w:tcPr>
          <w:p w:rsidR="00DE7FEE" w:rsidRPr="00BF6E7A" w:rsidRDefault="00DE7FEE" w:rsidP="00DE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>Середньооблікова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6E7A">
              <w:rPr>
                <w:rFonts w:ascii="Times New Roman" w:hAnsi="Times New Roman" w:cs="Times New Roman"/>
                <w:color w:val="000000"/>
              </w:rPr>
              <w:t>кількість штатних працівників, тис. осіб</w:t>
            </w:r>
          </w:p>
        </w:tc>
        <w:tc>
          <w:tcPr>
            <w:tcW w:w="1569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7785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7868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-82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1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E7FEE" w:rsidTr="00DE7FEE">
        <w:trPr>
          <w:jc w:val="center"/>
        </w:trPr>
        <w:tc>
          <w:tcPr>
            <w:tcW w:w="3397" w:type="dxa"/>
          </w:tcPr>
          <w:p w:rsidR="00DE7FEE" w:rsidRPr="00BF6E7A" w:rsidRDefault="00DE7FEE" w:rsidP="00DE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 xml:space="preserve">Фонд оплати праці штатних працівників, </w:t>
            </w:r>
            <w:proofErr w:type="spellStart"/>
            <w:r w:rsidRPr="00BF6E7A">
              <w:rPr>
                <w:rFonts w:ascii="Times New Roman" w:hAnsi="Times New Roman" w:cs="Times New Roman"/>
                <w:color w:val="000000"/>
              </w:rPr>
              <w:t>млн.</w:t>
            </w:r>
            <w:r w:rsidR="00C3499E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</w:p>
        </w:tc>
        <w:tc>
          <w:tcPr>
            <w:tcW w:w="1569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486809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489328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-2519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1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E7FEE" w:rsidTr="00DE7FEE">
        <w:trPr>
          <w:jc w:val="center"/>
        </w:trPr>
        <w:tc>
          <w:tcPr>
            <w:tcW w:w="3397" w:type="dxa"/>
          </w:tcPr>
          <w:p w:rsidR="00DE7FEE" w:rsidRPr="00BF6E7A" w:rsidRDefault="00DE7FEE" w:rsidP="00DE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F6E7A">
              <w:rPr>
                <w:rFonts w:ascii="Times New Roman" w:hAnsi="Times New Roman" w:cs="Times New Roman"/>
                <w:color w:val="000000"/>
              </w:rPr>
              <w:t>Серед</w:t>
            </w:r>
            <w:r w:rsidR="00C3499E">
              <w:rPr>
                <w:rFonts w:ascii="Times New Roman" w:hAnsi="Times New Roman" w:cs="Times New Roman"/>
                <w:color w:val="000000"/>
              </w:rPr>
              <w:t>ньомісячна заробітна плата, грн</w:t>
            </w:r>
          </w:p>
        </w:tc>
        <w:tc>
          <w:tcPr>
            <w:tcW w:w="1569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5211</w:t>
            </w:r>
          </w:p>
        </w:tc>
        <w:tc>
          <w:tcPr>
            <w:tcW w:w="1559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5183</w:t>
            </w:r>
          </w:p>
        </w:tc>
        <w:tc>
          <w:tcPr>
            <w:tcW w:w="1826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61" w:type="dxa"/>
            <w:vAlign w:val="bottom"/>
          </w:tcPr>
          <w:p w:rsidR="00DE7FEE" w:rsidRPr="00DE7FEE" w:rsidRDefault="00DE7FEE" w:rsidP="00DE7F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E7FE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E7F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C014E0" w:rsidRPr="00887EE9" w:rsidRDefault="00C014E0" w:rsidP="00E8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CFF" w:rsidRPr="00E85CFF" w:rsidRDefault="00E85CFF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Різниця в показниках пояснюється, насамперед, дизайном вибірки для обстежень. Генеральна сукупність для обох обстежень включає підприємства з кількістю працівників 10 і більше осіб. Проте для побудови вибірок обстежень використовувались генеральні сукупності, що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належать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до різного періоду часу. Крім того, якщо </w:t>
      </w:r>
      <w:r w:rsidR="00F5327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ОПСП </w:t>
      </w:r>
      <w:r w:rsidR="00F5327A" w:rsidRPr="00E85CFF">
        <w:rPr>
          <w:rFonts w:ascii="Times New Roman" w:hAnsi="Times New Roman" w:cs="Times New Roman"/>
          <w:color w:val="000000"/>
          <w:sz w:val="28"/>
          <w:szCs w:val="28"/>
        </w:rPr>
        <w:t>на основі вибіркового методу обстежувались  підприємства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з середньою кількістю працівників (включаючи позаштатних) </w:t>
      </w:r>
      <w:r w:rsidR="00F5327A">
        <w:rPr>
          <w:rFonts w:ascii="Times New Roman" w:hAnsi="Times New Roman" w:cs="Times New Roman"/>
          <w:color w:val="000000"/>
          <w:sz w:val="28"/>
          <w:szCs w:val="28"/>
        </w:rPr>
        <w:t>від 10 до 49 осіб,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27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>о в ОЗПП</w:t>
      </w:r>
      <w:r w:rsidR="00F5327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F5327A" w:rsidRPr="00E85CFF">
        <w:rPr>
          <w:rFonts w:ascii="Times New Roman" w:hAnsi="Times New Roman" w:cs="Times New Roman"/>
          <w:color w:val="000000"/>
          <w:sz w:val="28"/>
          <w:szCs w:val="28"/>
        </w:rPr>
        <w:t>з середньою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кількістю працівників</w:t>
      </w:r>
      <w:r w:rsidR="00F5327A"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r w:rsidR="00F5327A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249 осіб.</w:t>
      </w:r>
    </w:p>
    <w:p w:rsidR="00E85CFF" w:rsidRPr="00E85CFF" w:rsidRDefault="00E85CFF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При цьому </w:t>
      </w:r>
      <w:r w:rsidR="007B173E" w:rsidRPr="00E85CFF">
        <w:rPr>
          <w:rFonts w:ascii="Times New Roman" w:hAnsi="Times New Roman" w:cs="Times New Roman"/>
          <w:color w:val="000000"/>
          <w:sz w:val="28"/>
          <w:szCs w:val="28"/>
        </w:rPr>
        <w:t>відмінність між оцінками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показника середньомісячної заробітної плати за 201</w:t>
      </w:r>
      <w:r w:rsidR="007B173E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B173E">
        <w:rPr>
          <w:rFonts w:ascii="Times New Roman" w:hAnsi="Times New Roman" w:cs="Times New Roman"/>
          <w:color w:val="000000"/>
          <w:sz w:val="28"/>
          <w:szCs w:val="28"/>
        </w:rPr>
        <w:t>ік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в цілому по Україні за двома обстеженнями </w:t>
      </w:r>
      <w:r w:rsidR="007B173E">
        <w:rPr>
          <w:rFonts w:ascii="Times New Roman" w:hAnsi="Times New Roman" w:cs="Times New Roman"/>
          <w:color w:val="000000"/>
          <w:sz w:val="28"/>
          <w:szCs w:val="28"/>
        </w:rPr>
        <w:t>становить 0,5%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7B173E" w:rsidRPr="00E85CFF">
        <w:rPr>
          <w:rFonts w:ascii="Times New Roman" w:hAnsi="Times New Roman" w:cs="Times New Roman"/>
          <w:color w:val="000000"/>
          <w:sz w:val="28"/>
          <w:szCs w:val="28"/>
        </w:rPr>
        <w:t>між оцінками показника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середньооблікової кількості штатних працівників</w:t>
      </w:r>
      <w:r w:rsidR="007B173E">
        <w:rPr>
          <w:rFonts w:ascii="Times New Roman" w:hAnsi="Times New Roman" w:cs="Times New Roman"/>
          <w:color w:val="000000"/>
          <w:sz w:val="28"/>
          <w:szCs w:val="28"/>
        </w:rPr>
        <w:t xml:space="preserve"> – 1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%. </w:t>
      </w:r>
    </w:p>
    <w:p w:rsidR="00E85CFF" w:rsidRDefault="00E85CFF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CFF">
        <w:rPr>
          <w:rFonts w:ascii="Times New Roman" w:hAnsi="Times New Roman" w:cs="Times New Roman"/>
          <w:color w:val="000000"/>
          <w:sz w:val="28"/>
          <w:szCs w:val="28"/>
        </w:rPr>
        <w:t>Слід зазначити, що для ОЗПП одиницею спостереження, крім місцевої одиниці (підприємства, відокремленого підрозділу), була ще й фізична особа (працівник). Відповідно показник середньом</w:t>
      </w:r>
      <w:r w:rsidR="006D4968">
        <w:rPr>
          <w:rFonts w:ascii="Times New Roman" w:hAnsi="Times New Roman" w:cs="Times New Roman"/>
          <w:color w:val="000000"/>
          <w:sz w:val="28"/>
          <w:szCs w:val="28"/>
        </w:rPr>
        <w:t>ісячної заробітної плати</w:t>
      </w:r>
      <w:r w:rsidR="00E465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4968">
        <w:rPr>
          <w:rFonts w:ascii="Times New Roman" w:hAnsi="Times New Roman" w:cs="Times New Roman"/>
          <w:color w:val="000000"/>
          <w:sz w:val="28"/>
          <w:szCs w:val="28"/>
        </w:rPr>
        <w:t xml:space="preserve"> оцінени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>й за даними по фізичних особах</w:t>
      </w:r>
      <w:r w:rsidR="00E465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був на </w:t>
      </w:r>
      <w:r w:rsidR="00E4650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4650B">
        <w:rPr>
          <w:rFonts w:ascii="Times New Roman" w:hAnsi="Times New Roman" w:cs="Times New Roman"/>
          <w:color w:val="000000"/>
          <w:sz w:val="28"/>
          <w:szCs w:val="28"/>
        </w:rPr>
        <w:t>4% менш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им, ніж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оцінк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85CFF">
        <w:rPr>
          <w:rFonts w:ascii="Times New Roman" w:hAnsi="Times New Roman" w:cs="Times New Roman"/>
          <w:color w:val="000000"/>
          <w:sz w:val="28"/>
          <w:szCs w:val="28"/>
        </w:rPr>
        <w:t xml:space="preserve"> по підприємствах. </w:t>
      </w:r>
      <w:r w:rsidRPr="00E944A9">
        <w:rPr>
          <w:rFonts w:ascii="Times New Roman" w:hAnsi="Times New Roman" w:cs="Times New Roman"/>
          <w:color w:val="000000"/>
          <w:sz w:val="28"/>
          <w:szCs w:val="28"/>
        </w:rPr>
        <w:t xml:space="preserve">Однією з причин розходжень є те, що обстежувались не </w:t>
      </w:r>
      <w:r w:rsidR="00C3499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944A9">
        <w:rPr>
          <w:rFonts w:ascii="Times New Roman" w:hAnsi="Times New Roman" w:cs="Times New Roman"/>
          <w:color w:val="000000"/>
          <w:sz w:val="28"/>
          <w:szCs w:val="28"/>
        </w:rPr>
        <w:t>сі працівники підприємства, а лише ті, які відповідали певним вимогам.</w:t>
      </w:r>
    </w:p>
    <w:p w:rsidR="00887EE9" w:rsidRDefault="00887EE9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EE9">
        <w:rPr>
          <w:rFonts w:ascii="Times New Roman" w:hAnsi="Times New Roman" w:cs="Times New Roman"/>
          <w:color w:val="000000"/>
          <w:sz w:val="28"/>
          <w:szCs w:val="28"/>
        </w:rPr>
        <w:t>За даними анкетного опитування користувачів статистичної інформації</w:t>
      </w:r>
      <w:r w:rsidR="00835E92" w:rsidRPr="0083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про рівень задоволення їх потреб в інформації за підсумками О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>ЗПП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респондентів визна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>чили відмінну оцінку критерію "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Послідовність/Узгодженість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та Зіставність/Порівнян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ість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, 5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добру, 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>% –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задовільну,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 xml:space="preserve"> 1% – не</w:t>
      </w:r>
      <w:r w:rsidR="00960BF1" w:rsidRPr="00887EE9">
        <w:rPr>
          <w:rFonts w:ascii="Times New Roman" w:hAnsi="Times New Roman" w:cs="Times New Roman"/>
          <w:color w:val="000000"/>
          <w:sz w:val="28"/>
          <w:szCs w:val="28"/>
        </w:rPr>
        <w:t>задовільну,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60BF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835E92">
        <w:rPr>
          <w:rFonts w:ascii="Times New Roman" w:hAnsi="Times New Roman" w:cs="Times New Roman"/>
          <w:color w:val="000000"/>
          <w:sz w:val="28"/>
          <w:szCs w:val="28"/>
        </w:rPr>
        <w:t xml:space="preserve"> визначились із відповіддю</w:t>
      </w:r>
      <w:r w:rsidRPr="00887E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3336" w:rsidRDefault="00C5459F" w:rsidP="00C54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F5BE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ІІ</w:t>
      </w:r>
      <w:r w:rsidR="00A43336" w:rsidRPr="00EF5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E3845" w:rsidRPr="00EF5B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ОГЛЯД МЕТОДІВ, ЩО ЗАСТОСОВАНІ ДЛЯ ОТРИМАННЯ</w:t>
      </w:r>
      <w:r w:rsidR="00CE38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РЕЗУЛЬТАТІВ СПОСТЕРЕЖЕННЯ ЩОДО РІВНЯ ЗАРОБІТНОЇ ПЛАТИ ПРАЦІВНИКІВ ЗА СТАТТЮ</w:t>
      </w:r>
      <w:r w:rsidR="00CE3845" w:rsidRPr="001F5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ВІКОМ, ОСВІТОЮ ТА ПРОФЕСІЙНИМИ ГРУПАМИ</w:t>
      </w:r>
    </w:p>
    <w:p w:rsidR="00D42C70" w:rsidRDefault="00D42C70" w:rsidP="00A433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>Обстеження підприємств щодо рівня заробітної плати працівників за статтю, віком, освітою та професійними групами охоплює сукупність юридичних осіб та їхніх відокремлених підрозділів із кількістю найманих працівників 10 осіб і більше (далі – підприємств). Обстеження проведене на всій території України за усіма видами д</w:t>
      </w:r>
      <w:r w:rsidR="008F5DB1">
        <w:rPr>
          <w:rFonts w:ascii="Times New Roman" w:hAnsi="Times New Roman" w:cs="Times New Roman"/>
          <w:color w:val="000000"/>
          <w:sz w:val="28"/>
          <w:szCs w:val="28"/>
        </w:rPr>
        <w:t>іяльності за винятком секцій T "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>Діяльність домашніх господарств</w:t>
      </w:r>
      <w:r w:rsidR="008F5DB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 та U </w:t>
      </w:r>
      <w:r w:rsidR="008F5DB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>Діяльність екстериторіальних організацій і органів</w:t>
      </w:r>
      <w:r w:rsidR="008F5DB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ОЗПП організовано на основі комбінованого підходу, за яким сукупність підприємств </w:t>
      </w:r>
      <w:r w:rsidR="008F5DB1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>з кількістю працівників 250 осіб і більше обстежу</w:t>
      </w:r>
      <w:r w:rsidR="008F5DB1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ться на суцільній основі, а сукупність підприємств із кількістю працівників від 10 до 249 осіб включно – на основі вибіркового методу за процедурою стратифікованого випадкового відбору. Стратифікація сукупності звітних одиниць здійснена за такими ознаками: 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>розмір підприємств за кількістю працівників (усього виділено 4 групи: 10 – 19 працівників, 20 – 49 працівників, 50 – 99 працівників, 100 – 249 працівників);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>основний вид економічної діяльності за КВЕД: секції (за винятком секцій T і U). Усього виділено 14 груп за видами діяльності;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>територіальна належність за місцем здійснення діяльності відповідно до адміністративно-територіального устрою України</w:t>
      </w:r>
      <w:bookmarkStart w:id="3" w:name="_GoBack"/>
      <w:bookmarkEnd w:id="3"/>
      <w:r w:rsidRPr="00B61F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В ОЗПП передбачалося обстежити </w:t>
      </w:r>
      <w:r w:rsidR="003056F5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56F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 тис. підприємств, майже 18% генеральної сукупності, при цьому на суцільній основі – 11,</w:t>
      </w:r>
      <w:r w:rsidR="003056F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 тис. одиниць, а обсяг вибірки складав </w:t>
      </w:r>
      <w:r w:rsidR="003056F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t>,8 тис. одиниць.</w:t>
      </w:r>
    </w:p>
    <w:p w:rsidR="00B61FC7" w:rsidRPr="00B61FC7" w:rsidRDefault="0005493F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Працівники </w:t>
      </w:r>
      <w:r w:rsidR="00B61FC7"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підприємств, що увійшли до сукупності ОЗПП,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також обстежувались на </w:t>
      </w:r>
      <w:r w:rsidR="00B61FC7"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вибірковій основі. При цьому обстеженню підлягали працівники, які перебували в обліковому складі підприємства на 31 жовтня звітного року та яким нарахували заробітну плату за цей місяць, за винятком тих, які були прийняті на підприємство в кінці звітного місяця, а також тих, які не мали нарахувань із фонду оплати праці за цей місяць. Кількість працівників, що відбирались для обстеження, визначено з урахуванням розміру звітних одиниць. По підприємствах з кількістю працюючих від 10 до 19 осіб включно підлягали обстеженню 4 особи, від 20 до 49 осіб – 8 осіб, від 50 до 99 – 12 осіб, від 100 до 249 – 16 осіб, від 250 до 499 – 20 осіб, від 500 до 999 – 24 особи, від 1000 до 4999 – 32 особи, 5000 і більше  – 40 осіб. </w:t>
      </w:r>
      <w:r w:rsidR="00415EE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61FC7" w:rsidRPr="00B61FC7">
        <w:rPr>
          <w:rFonts w:ascii="Times New Roman" w:hAnsi="Times New Roman" w:cs="Times New Roman"/>
          <w:color w:val="000000"/>
          <w:sz w:val="28"/>
          <w:szCs w:val="28"/>
        </w:rPr>
        <w:t>сього в ОЗПП обстежено 2</w:t>
      </w:r>
      <w:r w:rsidR="00415EE3">
        <w:rPr>
          <w:rFonts w:ascii="Times New Roman" w:hAnsi="Times New Roman" w:cs="Times New Roman"/>
          <w:color w:val="000000"/>
          <w:sz w:val="28"/>
          <w:szCs w:val="28"/>
        </w:rPr>
        <w:t>02,5</w:t>
      </w:r>
      <w:r w:rsidR="00B61FC7"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 тис. працівників.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При визначені обсягів вибірки за визначальний показник прийнято середньорічну заробітну плату працівника та вимоги щодо забезпечення необхідного рівня надійності його оцінювання. 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 xml:space="preserve">За результатами ОЗПП здійснено розрахунок показників по генеральній сукупності з урахуванням системи статистичних ваг, що забезпечує урахування </w:t>
      </w:r>
      <w:r w:rsidRPr="00B61FC7">
        <w:rPr>
          <w:rFonts w:ascii="Times New Roman" w:hAnsi="Times New Roman" w:cs="Times New Roman"/>
          <w:color w:val="000000"/>
          <w:sz w:val="28"/>
          <w:szCs w:val="28"/>
        </w:rPr>
        <w:lastRenderedPageBreak/>
        <w:t>імовірностей відбору підприємств та працівників, а також фактичних рівнів участі одиниць в обстеженні. Всі оцінки показників за результатами ОЗПП розраховано на основі масиву мікроданих обстеження з використанням пакету статистичних програм SPSS.</w:t>
      </w:r>
    </w:p>
    <w:p w:rsidR="00B61FC7" w:rsidRPr="00B61FC7" w:rsidRDefault="00B61FC7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FC7">
        <w:rPr>
          <w:rFonts w:ascii="Times New Roman" w:hAnsi="Times New Roman" w:cs="Times New Roman"/>
          <w:color w:val="000000"/>
          <w:sz w:val="28"/>
          <w:szCs w:val="28"/>
        </w:rPr>
        <w:t>Абсолютні (сумарні) значення показників для підприємств розраховані за формулою:</w:t>
      </w:r>
    </w:p>
    <w:p w:rsidR="00B61FC7" w:rsidRPr="00FB0304" w:rsidRDefault="00B61FC7" w:rsidP="00B42E5C">
      <w:pPr>
        <w:pStyle w:val="Iauiue"/>
        <w:ind w:firstLine="567"/>
        <w:rPr>
          <w:sz w:val="28"/>
          <w:szCs w:val="28"/>
          <w:lang w:val="uk-UA"/>
        </w:rPr>
      </w:pPr>
      <w:r w:rsidRPr="00FB0304">
        <w:rPr>
          <w:position w:val="-28"/>
          <w:sz w:val="28"/>
          <w:szCs w:val="28"/>
          <w:lang w:val="uk-UA"/>
        </w:rPr>
        <w:object w:dxaOrig="2000" w:dyaOrig="720">
          <v:shape id="_x0000_i1027" type="#_x0000_t75" style="width:131.4pt;height:46.8pt" o:ole="">
            <v:imagedata r:id="rId13" o:title=""/>
          </v:shape>
          <o:OLEObject Type="Embed" ProgID="Equation.3" ShapeID="_x0000_i1027" DrawAspect="Content" ObjectID="_1594126954" r:id="rId14"/>
        </w:object>
      </w:r>
      <w:r w:rsidRPr="00FB0304">
        <w:rPr>
          <w:sz w:val="28"/>
          <w:szCs w:val="28"/>
          <w:lang w:val="uk-UA"/>
        </w:rPr>
        <w:tab/>
      </w:r>
      <w:r w:rsidR="00B24B26">
        <w:rPr>
          <w:sz w:val="28"/>
          <w:szCs w:val="28"/>
          <w:lang w:val="uk-UA"/>
        </w:rPr>
        <w:t xml:space="preserve">                                                                       </w:t>
      </w:r>
      <w:r w:rsidRPr="00FB0304">
        <w:rPr>
          <w:sz w:val="28"/>
          <w:szCs w:val="28"/>
          <w:lang w:val="uk-UA"/>
        </w:rPr>
        <w:tab/>
        <w:t xml:space="preserve"> (1)</w:t>
      </w:r>
    </w:p>
    <w:p w:rsidR="00B61FC7" w:rsidRPr="00FB0304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FB0304">
        <w:rPr>
          <w:sz w:val="28"/>
          <w:szCs w:val="28"/>
          <w:lang w:val="uk-UA"/>
        </w:rPr>
        <w:t xml:space="preserve">де </w:t>
      </w:r>
      <w:r w:rsidRPr="00FB0304">
        <w:rPr>
          <w:position w:val="-12"/>
          <w:sz w:val="28"/>
          <w:szCs w:val="28"/>
          <w:lang w:val="uk-UA"/>
        </w:rPr>
        <w:object w:dxaOrig="460" w:dyaOrig="380">
          <v:shape id="_x0000_i1028" type="#_x0000_t75" style="width:30.6pt;height:24.6pt" o:ole="">
            <v:imagedata r:id="rId15" o:title=""/>
          </v:shape>
          <o:OLEObject Type="Embed" ProgID="Equation.3" ShapeID="_x0000_i1028" DrawAspect="Content" ObjectID="_1594126955" r:id="rId16"/>
        </w:object>
      </w:r>
      <w:r w:rsidRPr="00FB0304">
        <w:rPr>
          <w:sz w:val="28"/>
          <w:szCs w:val="28"/>
          <w:lang w:val="uk-UA"/>
        </w:rPr>
        <w:t xml:space="preserve"> – </w:t>
      </w:r>
      <w:r w:rsidRPr="00B61FC7">
        <w:rPr>
          <w:rFonts w:eastAsiaTheme="minorEastAsia"/>
          <w:color w:val="000000"/>
          <w:sz w:val="28"/>
          <w:szCs w:val="28"/>
          <w:lang w:val="uk-UA" w:eastAsia="en-US"/>
        </w:rPr>
        <w:t>значення ознаки, за якою розраховується показник</w:t>
      </w:r>
      <w:r w:rsidRPr="00FB0304">
        <w:rPr>
          <w:sz w:val="28"/>
          <w:szCs w:val="28"/>
          <w:lang w:val="uk-UA"/>
        </w:rPr>
        <w:t xml:space="preserve"> </w:t>
      </w:r>
      <w:r w:rsidRPr="00FB0304">
        <w:rPr>
          <w:position w:val="-4"/>
          <w:lang w:val="uk-UA"/>
        </w:rPr>
        <w:object w:dxaOrig="480" w:dyaOrig="320">
          <v:shape id="_x0000_i1029" type="#_x0000_t75" style="width:32.4pt;height:21pt" o:ole="">
            <v:imagedata r:id="rId17" o:title=""/>
          </v:shape>
          <o:OLEObject Type="Embed" ProgID="Equation.3" ShapeID="_x0000_i1029" DrawAspect="Content" ObjectID="_1594126956" r:id="rId18"/>
        </w:object>
      </w:r>
      <w:r w:rsidRPr="00FB0304">
        <w:rPr>
          <w:sz w:val="28"/>
          <w:szCs w:val="28"/>
          <w:lang w:val="uk-UA"/>
        </w:rPr>
        <w:t xml:space="preserve">, по </w:t>
      </w:r>
      <w:r w:rsidRPr="00FB0304">
        <w:rPr>
          <w:position w:val="-6"/>
          <w:lang w:val="uk-UA"/>
        </w:rPr>
        <w:object w:dxaOrig="139" w:dyaOrig="260">
          <v:shape id="_x0000_i1030" type="#_x0000_t75" style="width:9pt;height:17.4pt" o:ole="">
            <v:imagedata r:id="rId19" o:title=""/>
          </v:shape>
          <o:OLEObject Type="Embed" ProgID="Equation.3" ShapeID="_x0000_i1030" DrawAspect="Content" ObjectID="_1594126957" r:id="rId20"/>
        </w:object>
      </w:r>
      <w:r w:rsidRPr="00FB0304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ому</w:t>
      </w:r>
      <w:proofErr w:type="spellEnd"/>
      <w:r w:rsidRPr="00FB03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підприємству</w:t>
      </w:r>
      <w:r w:rsidRPr="00FB0304">
        <w:rPr>
          <w:sz w:val="28"/>
          <w:szCs w:val="28"/>
          <w:lang w:val="uk-UA"/>
        </w:rPr>
        <w:t xml:space="preserve">; </w:t>
      </w:r>
      <w:r w:rsidRPr="00FB0304">
        <w:rPr>
          <w:position w:val="-12"/>
          <w:lang w:val="uk-UA"/>
        </w:rPr>
        <w:object w:dxaOrig="480" w:dyaOrig="380">
          <v:shape id="_x0000_i1031" type="#_x0000_t75" style="width:30pt;height:23.4pt" o:ole="">
            <v:imagedata r:id="rId21" o:title=""/>
          </v:shape>
          <o:OLEObject Type="Embed" ProgID="Equation.3" ShapeID="_x0000_i1031" DrawAspect="Content" ObjectID="_1594126958" r:id="rId22"/>
        </w:object>
      </w:r>
      <w:r w:rsidRPr="00FB0304">
        <w:rPr>
          <w:lang w:val="uk-UA"/>
        </w:rPr>
        <w:t xml:space="preserve">– </w:t>
      </w:r>
      <w:r w:rsidRPr="00FB0304">
        <w:rPr>
          <w:sz w:val="28"/>
          <w:szCs w:val="28"/>
          <w:lang w:val="uk-UA"/>
        </w:rPr>
        <w:t xml:space="preserve">статистична вага </w:t>
      </w:r>
      <w:r w:rsidRPr="00FB0304">
        <w:rPr>
          <w:position w:val="-6"/>
          <w:sz w:val="28"/>
          <w:szCs w:val="28"/>
          <w:lang w:val="uk-UA"/>
        </w:rPr>
        <w:object w:dxaOrig="139" w:dyaOrig="260">
          <v:shape id="_x0000_i1032" type="#_x0000_t75" style="width:9pt;height:17.4pt" o:ole="">
            <v:imagedata r:id="rId19" o:title=""/>
          </v:shape>
          <o:OLEObject Type="Embed" ProgID="Equation.3" ShapeID="_x0000_i1032" DrawAspect="Content" ObjectID="_1594126959" r:id="rId23"/>
        </w:object>
      </w:r>
      <w:r w:rsidRPr="00FB0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 підприємства</w:t>
      </w:r>
      <w:r w:rsidRPr="00FB0304">
        <w:rPr>
          <w:sz w:val="28"/>
          <w:szCs w:val="28"/>
          <w:lang w:val="uk-UA"/>
        </w:rPr>
        <w:t xml:space="preserve">; </w:t>
      </w:r>
      <w:r w:rsidRPr="00FB0304">
        <w:rPr>
          <w:position w:val="-6"/>
          <w:sz w:val="28"/>
          <w:szCs w:val="28"/>
          <w:lang w:val="uk-UA"/>
        </w:rPr>
        <w:object w:dxaOrig="440" w:dyaOrig="320">
          <v:shape id="_x0000_i1033" type="#_x0000_t75" style="width:26.4pt;height:18.6pt" o:ole="">
            <v:imagedata r:id="rId24" o:title=""/>
          </v:shape>
          <o:OLEObject Type="Embed" ProgID="Equation.3" ShapeID="_x0000_i1033" DrawAspect="Content" ObjectID="_1594126960" r:id="rId25"/>
        </w:object>
      </w:r>
      <w:r w:rsidRPr="00FB0304">
        <w:rPr>
          <w:sz w:val="28"/>
          <w:szCs w:val="28"/>
          <w:lang w:val="uk-UA"/>
        </w:rPr>
        <w:t xml:space="preserve"> – обсяг сукупності обстежених </w:t>
      </w:r>
      <w:r>
        <w:rPr>
          <w:sz w:val="28"/>
          <w:szCs w:val="28"/>
          <w:lang w:val="uk-UA"/>
        </w:rPr>
        <w:t>підприємств</w:t>
      </w:r>
      <w:r w:rsidRPr="00FB0304">
        <w:rPr>
          <w:sz w:val="28"/>
          <w:szCs w:val="28"/>
          <w:lang w:val="uk-UA"/>
        </w:rPr>
        <w:t>.</w:t>
      </w:r>
    </w:p>
    <w:p w:rsidR="00B61FC7" w:rsidRPr="00FB0304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FB0304">
        <w:rPr>
          <w:sz w:val="28"/>
          <w:szCs w:val="28"/>
          <w:lang w:val="uk-UA"/>
        </w:rPr>
        <w:t>Абсолютні (сумарні) значення показників для працівників розраховані за формулою:</w:t>
      </w:r>
    </w:p>
    <w:p w:rsidR="00B61FC7" w:rsidRPr="00FB0304" w:rsidRDefault="00B61FC7" w:rsidP="00B42E5C">
      <w:pPr>
        <w:pStyle w:val="Iauiue"/>
        <w:ind w:firstLine="567"/>
        <w:rPr>
          <w:sz w:val="28"/>
          <w:szCs w:val="28"/>
          <w:lang w:val="uk-UA"/>
        </w:rPr>
      </w:pPr>
      <w:r w:rsidRPr="00FB0304">
        <w:rPr>
          <w:position w:val="-30"/>
          <w:sz w:val="28"/>
          <w:szCs w:val="28"/>
          <w:lang w:val="uk-UA"/>
        </w:rPr>
        <w:object w:dxaOrig="2260" w:dyaOrig="740">
          <v:shape id="_x0000_i1034" type="#_x0000_t75" style="width:148.2pt;height:48pt" o:ole="">
            <v:imagedata r:id="rId26" o:title=""/>
          </v:shape>
          <o:OLEObject Type="Embed" ProgID="Equation.3" ShapeID="_x0000_i1034" DrawAspect="Content" ObjectID="_1594126961" r:id="rId27"/>
        </w:object>
      </w:r>
      <w:r w:rsidRPr="00FB0304">
        <w:rPr>
          <w:sz w:val="28"/>
          <w:szCs w:val="28"/>
          <w:lang w:val="uk-UA"/>
        </w:rPr>
        <w:tab/>
      </w:r>
      <w:r w:rsidRPr="00FB0304">
        <w:rPr>
          <w:sz w:val="28"/>
          <w:szCs w:val="28"/>
          <w:lang w:val="uk-UA"/>
        </w:rPr>
        <w:tab/>
        <w:t xml:space="preserve"> </w:t>
      </w:r>
      <w:r w:rsidR="00B24B26">
        <w:rPr>
          <w:sz w:val="28"/>
          <w:szCs w:val="28"/>
          <w:lang w:val="uk-UA"/>
        </w:rPr>
        <w:t xml:space="preserve">                                                            </w:t>
      </w:r>
      <w:r w:rsidRPr="00FB0304">
        <w:rPr>
          <w:sz w:val="28"/>
          <w:szCs w:val="28"/>
          <w:lang w:val="uk-UA"/>
        </w:rPr>
        <w:tab/>
        <w:t>(</w:t>
      </w:r>
      <w:r w:rsidRPr="004F0DAA">
        <w:rPr>
          <w:sz w:val="28"/>
          <w:szCs w:val="28"/>
          <w:lang w:val="ru-RU"/>
        </w:rPr>
        <w:t>2</w:t>
      </w:r>
      <w:r w:rsidRPr="00FB0304">
        <w:rPr>
          <w:sz w:val="28"/>
          <w:szCs w:val="28"/>
          <w:lang w:val="uk-UA"/>
        </w:rPr>
        <w:t>)</w:t>
      </w:r>
    </w:p>
    <w:p w:rsidR="00B61FC7" w:rsidRPr="00222799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222799">
        <w:rPr>
          <w:sz w:val="28"/>
          <w:szCs w:val="28"/>
          <w:lang w:val="uk-UA"/>
        </w:rPr>
        <w:t xml:space="preserve">де </w:t>
      </w:r>
      <w:r w:rsidRPr="00D55B26">
        <w:rPr>
          <w:position w:val="-14"/>
        </w:rPr>
        <w:object w:dxaOrig="540" w:dyaOrig="400">
          <v:shape id="_x0000_i1035" type="#_x0000_t75" style="width:32.4pt;height:24pt" o:ole="">
            <v:imagedata r:id="rId28" o:title=""/>
          </v:shape>
          <o:OLEObject Type="Embed" ProgID="Equation.3" ShapeID="_x0000_i1035" DrawAspect="Content" ObjectID="_1594126962" r:id="rId29"/>
        </w:object>
      </w:r>
      <w:r w:rsidRPr="00222799">
        <w:rPr>
          <w:sz w:val="28"/>
          <w:szCs w:val="28"/>
          <w:lang w:val="uk-UA"/>
        </w:rPr>
        <w:t xml:space="preserve"> – значення ознаки, за якою розраховується показник </w:t>
      </w:r>
      <w:r w:rsidRPr="00222799">
        <w:rPr>
          <w:position w:val="-4"/>
          <w:lang w:val="uk-UA"/>
        </w:rPr>
        <w:object w:dxaOrig="540" w:dyaOrig="320">
          <v:shape id="_x0000_i1036" type="#_x0000_t75" style="width:36.6pt;height:21pt" o:ole="">
            <v:imagedata r:id="rId30" o:title=""/>
          </v:shape>
          <o:OLEObject Type="Embed" ProgID="Equation.3" ShapeID="_x0000_i1036" DrawAspect="Content" ObjectID="_1594126963" r:id="rId31"/>
        </w:object>
      </w:r>
      <w:r w:rsidRPr="0022279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</w:t>
      </w:r>
      <w:r w:rsidRPr="00222799">
        <w:rPr>
          <w:sz w:val="28"/>
          <w:szCs w:val="28"/>
          <w:lang w:val="uk-UA"/>
        </w:rPr>
        <w:t xml:space="preserve"> </w:t>
      </w:r>
      <w:r w:rsidRPr="00222799">
        <w:rPr>
          <w:position w:val="-6"/>
          <w:lang w:val="uk-UA"/>
        </w:rPr>
        <w:object w:dxaOrig="139" w:dyaOrig="260">
          <v:shape id="_x0000_i1037" type="#_x0000_t75" style="width:9pt;height:17.4pt" o:ole="">
            <v:imagedata r:id="rId19" o:title=""/>
          </v:shape>
          <o:OLEObject Type="Embed" ProgID="Equation.3" ShapeID="_x0000_i1037" DrawAspect="Content" ObjectID="_1594126964" r:id="rId32"/>
        </w:object>
      </w:r>
      <w:r w:rsidRPr="0022279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</w:t>
      </w:r>
      <w:r w:rsidRPr="002227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працівника</w:t>
      </w:r>
      <w:r w:rsidRPr="00222799">
        <w:rPr>
          <w:sz w:val="28"/>
          <w:szCs w:val="28"/>
          <w:lang w:val="uk-UA"/>
        </w:rPr>
        <w:t xml:space="preserve">; </w:t>
      </w:r>
      <w:r w:rsidRPr="00761D1F">
        <w:rPr>
          <w:position w:val="-14"/>
          <w:lang w:val="uk-UA"/>
        </w:rPr>
        <w:object w:dxaOrig="560" w:dyaOrig="400">
          <v:shape id="_x0000_i1038" type="#_x0000_t75" style="width:35.4pt;height:24.6pt" o:ole="">
            <v:imagedata r:id="rId33" o:title=""/>
          </v:shape>
          <o:OLEObject Type="Embed" ProgID="Equation.3" ShapeID="_x0000_i1038" DrawAspect="Content" ObjectID="_1594126965" r:id="rId34"/>
        </w:object>
      </w:r>
      <w:r w:rsidRPr="00222799">
        <w:rPr>
          <w:lang w:val="uk-UA"/>
        </w:rPr>
        <w:t xml:space="preserve">– </w:t>
      </w:r>
      <w:r w:rsidRPr="00222799">
        <w:rPr>
          <w:sz w:val="28"/>
          <w:szCs w:val="28"/>
          <w:lang w:val="uk-UA"/>
        </w:rPr>
        <w:t xml:space="preserve">статистична вага </w:t>
      </w:r>
      <w:r w:rsidRPr="00222799">
        <w:rPr>
          <w:position w:val="-6"/>
          <w:sz w:val="28"/>
          <w:szCs w:val="28"/>
          <w:lang w:val="uk-UA"/>
        </w:rPr>
        <w:object w:dxaOrig="139" w:dyaOrig="260">
          <v:shape id="_x0000_i1039" type="#_x0000_t75" style="width:9pt;height:17.4pt" o:ole="">
            <v:imagedata r:id="rId19" o:title=""/>
          </v:shape>
          <o:OLEObject Type="Embed" ProgID="Equation.3" ShapeID="_x0000_i1039" DrawAspect="Content" ObjectID="_1594126966" r:id="rId35"/>
        </w:object>
      </w:r>
      <w:r w:rsidRPr="0022279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</w:t>
      </w:r>
      <w:r w:rsidRPr="002227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працівника</w:t>
      </w:r>
      <w:r w:rsidRPr="00222799">
        <w:rPr>
          <w:sz w:val="28"/>
          <w:szCs w:val="28"/>
          <w:lang w:val="uk-UA"/>
        </w:rPr>
        <w:t xml:space="preserve">; </w:t>
      </w:r>
      <w:r w:rsidRPr="00222799">
        <w:rPr>
          <w:position w:val="-6"/>
          <w:sz w:val="28"/>
          <w:szCs w:val="28"/>
          <w:lang w:val="uk-UA"/>
        </w:rPr>
        <w:object w:dxaOrig="520" w:dyaOrig="320">
          <v:shape id="_x0000_i1040" type="#_x0000_t75" style="width:31.8pt;height:18.6pt" o:ole="">
            <v:imagedata r:id="rId36" o:title=""/>
          </v:shape>
          <o:OLEObject Type="Embed" ProgID="Equation.3" ShapeID="_x0000_i1040" DrawAspect="Content" ObjectID="_1594126967" r:id="rId37"/>
        </w:object>
      </w:r>
      <w:r w:rsidRPr="00222799">
        <w:rPr>
          <w:sz w:val="28"/>
          <w:szCs w:val="28"/>
          <w:lang w:val="uk-UA"/>
        </w:rPr>
        <w:t xml:space="preserve"> – обсяг вибіркової сукупності обстежених працівників.</w:t>
      </w:r>
    </w:p>
    <w:p w:rsidR="00B61FC7" w:rsidRPr="00FB0304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222799">
        <w:rPr>
          <w:sz w:val="28"/>
          <w:szCs w:val="28"/>
          <w:lang w:val="uk-UA"/>
        </w:rPr>
        <w:t xml:space="preserve">Відносні </w:t>
      </w:r>
      <w:r w:rsidRPr="00FB0304">
        <w:rPr>
          <w:sz w:val="28"/>
          <w:szCs w:val="28"/>
          <w:lang w:val="uk-UA"/>
        </w:rPr>
        <w:t xml:space="preserve">значення показників для </w:t>
      </w:r>
      <w:r>
        <w:rPr>
          <w:sz w:val="28"/>
          <w:szCs w:val="28"/>
          <w:lang w:val="uk-UA"/>
        </w:rPr>
        <w:t>підприємств</w:t>
      </w:r>
      <w:r w:rsidRPr="00FB0304">
        <w:rPr>
          <w:sz w:val="28"/>
          <w:szCs w:val="28"/>
          <w:lang w:val="uk-UA"/>
        </w:rPr>
        <w:t xml:space="preserve"> розраховані за формулою:</w:t>
      </w:r>
    </w:p>
    <w:p w:rsidR="00B61FC7" w:rsidRPr="00222799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222799">
        <w:rPr>
          <w:position w:val="-64"/>
          <w:sz w:val="28"/>
          <w:szCs w:val="28"/>
          <w:lang w:val="uk-UA"/>
        </w:rPr>
        <w:object w:dxaOrig="2079" w:dyaOrig="1400">
          <v:shape id="_x0000_i1041" type="#_x0000_t75" style="width:136.2pt;height:90.6pt" o:ole="">
            <v:imagedata r:id="rId38" o:title=""/>
          </v:shape>
          <o:OLEObject Type="Embed" ProgID="Equation.3" ShapeID="_x0000_i1041" DrawAspect="Content" ObjectID="_1594126968" r:id="rId39"/>
        </w:object>
      </w:r>
      <w:r w:rsidRPr="00222799">
        <w:rPr>
          <w:sz w:val="28"/>
          <w:szCs w:val="28"/>
          <w:lang w:val="uk-UA"/>
        </w:rPr>
        <w:t xml:space="preserve"> </w:t>
      </w:r>
      <w:r w:rsidRPr="00222799">
        <w:rPr>
          <w:sz w:val="28"/>
          <w:szCs w:val="28"/>
          <w:lang w:val="uk-UA"/>
        </w:rPr>
        <w:tab/>
      </w:r>
      <w:r w:rsidRPr="00222799">
        <w:rPr>
          <w:sz w:val="28"/>
          <w:szCs w:val="28"/>
          <w:lang w:val="uk-UA"/>
        </w:rPr>
        <w:tab/>
      </w:r>
      <w:r w:rsidR="00B24B26">
        <w:rPr>
          <w:sz w:val="28"/>
          <w:szCs w:val="28"/>
          <w:lang w:val="uk-UA"/>
        </w:rPr>
        <w:t xml:space="preserve">                                                             </w:t>
      </w:r>
      <w:r w:rsidRPr="00222799">
        <w:rPr>
          <w:sz w:val="28"/>
          <w:szCs w:val="28"/>
          <w:lang w:val="uk-UA"/>
        </w:rPr>
        <w:tab/>
        <w:t>(</w:t>
      </w:r>
      <w:r w:rsidRPr="004F0DAA">
        <w:rPr>
          <w:sz w:val="28"/>
          <w:szCs w:val="28"/>
          <w:lang w:val="ru-RU"/>
        </w:rPr>
        <w:t>3</w:t>
      </w:r>
      <w:r w:rsidRPr="00222799">
        <w:rPr>
          <w:sz w:val="28"/>
          <w:szCs w:val="28"/>
          <w:lang w:val="uk-UA"/>
        </w:rPr>
        <w:t>)</w:t>
      </w:r>
    </w:p>
    <w:p w:rsidR="00B61FC7" w:rsidRPr="00222799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222799">
        <w:rPr>
          <w:sz w:val="28"/>
          <w:szCs w:val="28"/>
          <w:lang w:val="uk-UA"/>
        </w:rPr>
        <w:t xml:space="preserve">де </w:t>
      </w:r>
      <w:r w:rsidRPr="00FB0304">
        <w:rPr>
          <w:position w:val="-12"/>
          <w:sz w:val="28"/>
          <w:szCs w:val="28"/>
          <w:lang w:val="uk-UA"/>
        </w:rPr>
        <w:object w:dxaOrig="540" w:dyaOrig="380">
          <v:shape id="_x0000_i1042" type="#_x0000_t75" style="width:36pt;height:24.6pt" o:ole="">
            <v:imagedata r:id="rId40" o:title=""/>
          </v:shape>
          <o:OLEObject Type="Embed" ProgID="Equation.3" ShapeID="_x0000_i1042" DrawAspect="Content" ObjectID="_1594126969" r:id="rId41"/>
        </w:object>
      </w:r>
      <w:r w:rsidRPr="00222799">
        <w:rPr>
          <w:sz w:val="28"/>
          <w:szCs w:val="28"/>
          <w:lang w:val="ru-RU"/>
        </w:rPr>
        <w:t xml:space="preserve">, </w:t>
      </w:r>
      <w:r w:rsidRPr="00FB0304">
        <w:rPr>
          <w:position w:val="-12"/>
          <w:sz w:val="28"/>
          <w:szCs w:val="28"/>
          <w:lang w:val="uk-UA"/>
        </w:rPr>
        <w:object w:dxaOrig="540" w:dyaOrig="380">
          <v:shape id="_x0000_i1043" type="#_x0000_t75" style="width:36pt;height:24.6pt" o:ole="">
            <v:imagedata r:id="rId42" o:title=""/>
          </v:shape>
          <o:OLEObject Type="Embed" ProgID="Equation.3" ShapeID="_x0000_i1043" DrawAspect="Content" ObjectID="_1594126970" r:id="rId43"/>
        </w:object>
      </w:r>
      <w:r w:rsidRPr="00FB0304">
        <w:rPr>
          <w:sz w:val="28"/>
          <w:szCs w:val="28"/>
          <w:lang w:val="uk-UA"/>
        </w:rPr>
        <w:t xml:space="preserve"> – значення ознак</w:t>
      </w:r>
      <w:r w:rsidRPr="00222799">
        <w:rPr>
          <w:sz w:val="28"/>
          <w:szCs w:val="28"/>
          <w:lang w:val="ru-RU"/>
        </w:rPr>
        <w:t xml:space="preserve"> </w:t>
      </w:r>
      <w:r w:rsidRPr="00FB0304">
        <w:rPr>
          <w:sz w:val="28"/>
          <w:szCs w:val="28"/>
          <w:lang w:val="uk-UA"/>
        </w:rPr>
        <w:t>, за як</w:t>
      </w:r>
      <w:r>
        <w:rPr>
          <w:sz w:val="28"/>
          <w:szCs w:val="28"/>
          <w:lang w:val="uk-UA"/>
        </w:rPr>
        <w:t>ими</w:t>
      </w:r>
      <w:r w:rsidRPr="00FB0304">
        <w:rPr>
          <w:sz w:val="28"/>
          <w:szCs w:val="28"/>
          <w:lang w:val="uk-UA"/>
        </w:rPr>
        <w:t xml:space="preserve"> розраховується показник </w:t>
      </w:r>
      <w:r w:rsidRPr="00FB0304">
        <w:rPr>
          <w:position w:val="-4"/>
          <w:lang w:val="uk-UA"/>
        </w:rPr>
        <w:object w:dxaOrig="540" w:dyaOrig="320">
          <v:shape id="_x0000_i1044" type="#_x0000_t75" style="width:36.6pt;height:21pt" o:ole="">
            <v:imagedata r:id="rId44" o:title=""/>
          </v:shape>
          <o:OLEObject Type="Embed" ProgID="Equation.3" ShapeID="_x0000_i1044" DrawAspect="Content" ObjectID="_1594126971" r:id="rId45"/>
        </w:object>
      </w:r>
      <w:r w:rsidRPr="00FB030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</w:t>
      </w:r>
      <w:r w:rsidRPr="00222799">
        <w:rPr>
          <w:sz w:val="28"/>
          <w:szCs w:val="28"/>
          <w:lang w:val="uk-UA"/>
        </w:rPr>
        <w:t xml:space="preserve"> </w:t>
      </w:r>
      <w:r w:rsidRPr="00222799">
        <w:rPr>
          <w:position w:val="-6"/>
          <w:lang w:val="uk-UA"/>
        </w:rPr>
        <w:object w:dxaOrig="139" w:dyaOrig="260">
          <v:shape id="_x0000_i1045" type="#_x0000_t75" style="width:9pt;height:17.4pt" o:ole="">
            <v:imagedata r:id="rId19" o:title=""/>
          </v:shape>
          <o:OLEObject Type="Embed" ProgID="Equation.3" ShapeID="_x0000_i1045" DrawAspect="Content" ObjectID="_1594126972" r:id="rId46"/>
        </w:object>
      </w:r>
      <w:r w:rsidRPr="0022279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</w:t>
      </w:r>
      <w:r w:rsidRPr="002227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працівника</w:t>
      </w:r>
      <w:r w:rsidRPr="00222799">
        <w:rPr>
          <w:sz w:val="28"/>
          <w:szCs w:val="28"/>
          <w:lang w:val="uk-UA"/>
        </w:rPr>
        <w:t>.</w:t>
      </w:r>
    </w:p>
    <w:p w:rsidR="00B61FC7" w:rsidRPr="00FB0304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222799">
        <w:rPr>
          <w:sz w:val="28"/>
          <w:szCs w:val="28"/>
          <w:lang w:val="uk-UA"/>
        </w:rPr>
        <w:t xml:space="preserve">Відносні </w:t>
      </w:r>
      <w:r w:rsidRPr="00FB0304">
        <w:rPr>
          <w:sz w:val="28"/>
          <w:szCs w:val="28"/>
          <w:lang w:val="uk-UA"/>
        </w:rPr>
        <w:t>значення показників для працівників розраховані за формулою:</w:t>
      </w:r>
    </w:p>
    <w:p w:rsidR="00B61FC7" w:rsidRPr="00222799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761D1F">
        <w:rPr>
          <w:position w:val="-66"/>
          <w:sz w:val="28"/>
          <w:szCs w:val="28"/>
          <w:lang w:val="uk-UA"/>
        </w:rPr>
        <w:object w:dxaOrig="2340" w:dyaOrig="1440">
          <v:shape id="_x0000_i1046" type="#_x0000_t75" style="width:153.6pt;height:93pt" o:ole="">
            <v:imagedata r:id="rId47" o:title=""/>
          </v:shape>
          <o:OLEObject Type="Embed" ProgID="Equation.3" ShapeID="_x0000_i1046" DrawAspect="Content" ObjectID="_1594126973" r:id="rId48"/>
        </w:object>
      </w:r>
      <w:r w:rsidRPr="00222799">
        <w:rPr>
          <w:sz w:val="28"/>
          <w:szCs w:val="28"/>
          <w:lang w:val="uk-UA"/>
        </w:rPr>
        <w:t xml:space="preserve"> </w:t>
      </w:r>
      <w:r w:rsidRPr="00222799">
        <w:rPr>
          <w:sz w:val="28"/>
          <w:szCs w:val="28"/>
          <w:lang w:val="uk-UA"/>
        </w:rPr>
        <w:tab/>
      </w:r>
      <w:r w:rsidRPr="00222799">
        <w:rPr>
          <w:sz w:val="28"/>
          <w:szCs w:val="28"/>
          <w:lang w:val="uk-UA"/>
        </w:rPr>
        <w:tab/>
      </w:r>
      <w:r w:rsidR="00B24B26">
        <w:rPr>
          <w:sz w:val="28"/>
          <w:szCs w:val="28"/>
          <w:lang w:val="uk-UA"/>
        </w:rPr>
        <w:t xml:space="preserve">                                                   </w:t>
      </w:r>
      <w:r w:rsidRPr="00222799">
        <w:rPr>
          <w:sz w:val="28"/>
          <w:szCs w:val="28"/>
          <w:lang w:val="uk-UA"/>
        </w:rPr>
        <w:tab/>
        <w:t>(4)</w:t>
      </w:r>
    </w:p>
    <w:p w:rsidR="00B61FC7" w:rsidRPr="00222799" w:rsidRDefault="00B61FC7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222799">
        <w:rPr>
          <w:sz w:val="28"/>
          <w:szCs w:val="28"/>
          <w:lang w:val="uk-UA"/>
        </w:rPr>
        <w:t xml:space="preserve">де </w:t>
      </w:r>
      <w:r w:rsidRPr="00FB0304">
        <w:rPr>
          <w:position w:val="-12"/>
          <w:sz w:val="28"/>
          <w:szCs w:val="28"/>
          <w:lang w:val="uk-UA"/>
        </w:rPr>
        <w:object w:dxaOrig="540" w:dyaOrig="380">
          <v:shape id="_x0000_i1047" type="#_x0000_t75" style="width:36pt;height:24.6pt" o:ole="">
            <v:imagedata r:id="rId49" o:title=""/>
          </v:shape>
          <o:OLEObject Type="Embed" ProgID="Equation.3" ShapeID="_x0000_i1047" DrawAspect="Content" ObjectID="_1594126974" r:id="rId50"/>
        </w:object>
      </w:r>
      <w:r w:rsidRPr="00222799">
        <w:rPr>
          <w:sz w:val="28"/>
          <w:szCs w:val="28"/>
          <w:lang w:val="ru-RU"/>
        </w:rPr>
        <w:t xml:space="preserve">, </w:t>
      </w:r>
      <w:r w:rsidRPr="00FB0304">
        <w:rPr>
          <w:position w:val="-12"/>
          <w:sz w:val="28"/>
          <w:szCs w:val="28"/>
          <w:lang w:val="uk-UA"/>
        </w:rPr>
        <w:object w:dxaOrig="540" w:dyaOrig="380">
          <v:shape id="_x0000_i1048" type="#_x0000_t75" style="width:36pt;height:24.6pt" o:ole="">
            <v:imagedata r:id="rId51" o:title=""/>
          </v:shape>
          <o:OLEObject Type="Embed" ProgID="Equation.3" ShapeID="_x0000_i1048" DrawAspect="Content" ObjectID="_1594126975" r:id="rId52"/>
        </w:object>
      </w:r>
      <w:r w:rsidRPr="00FB0304">
        <w:rPr>
          <w:sz w:val="28"/>
          <w:szCs w:val="28"/>
          <w:lang w:val="uk-UA"/>
        </w:rPr>
        <w:t xml:space="preserve"> – значення ознак</w:t>
      </w:r>
      <w:r w:rsidRPr="00222799">
        <w:rPr>
          <w:sz w:val="28"/>
          <w:szCs w:val="28"/>
          <w:lang w:val="ru-RU"/>
        </w:rPr>
        <w:t xml:space="preserve"> </w:t>
      </w:r>
      <w:r w:rsidRPr="00FB0304">
        <w:rPr>
          <w:sz w:val="28"/>
          <w:szCs w:val="28"/>
          <w:lang w:val="uk-UA"/>
        </w:rPr>
        <w:t>, за як</w:t>
      </w:r>
      <w:r>
        <w:rPr>
          <w:sz w:val="28"/>
          <w:szCs w:val="28"/>
          <w:lang w:val="uk-UA"/>
        </w:rPr>
        <w:t>ими</w:t>
      </w:r>
      <w:r w:rsidRPr="00FB0304">
        <w:rPr>
          <w:sz w:val="28"/>
          <w:szCs w:val="28"/>
          <w:lang w:val="uk-UA"/>
        </w:rPr>
        <w:t xml:space="preserve"> розраховується показник </w:t>
      </w:r>
      <w:r w:rsidRPr="00FB0304">
        <w:rPr>
          <w:position w:val="-4"/>
          <w:lang w:val="uk-UA"/>
        </w:rPr>
        <w:object w:dxaOrig="540" w:dyaOrig="320">
          <v:shape id="_x0000_i1049" type="#_x0000_t75" style="width:36.6pt;height:21pt" o:ole="">
            <v:imagedata r:id="rId44" o:title=""/>
          </v:shape>
          <o:OLEObject Type="Embed" ProgID="Equation.3" ShapeID="_x0000_i1049" DrawAspect="Content" ObjectID="_1594126976" r:id="rId53"/>
        </w:object>
      </w:r>
      <w:r w:rsidRPr="00FB030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</w:t>
      </w:r>
      <w:r w:rsidRPr="00222799">
        <w:rPr>
          <w:sz w:val="28"/>
          <w:szCs w:val="28"/>
          <w:lang w:val="uk-UA"/>
        </w:rPr>
        <w:t xml:space="preserve"> </w:t>
      </w:r>
      <w:r w:rsidRPr="00222799">
        <w:rPr>
          <w:position w:val="-6"/>
          <w:lang w:val="uk-UA"/>
        </w:rPr>
        <w:object w:dxaOrig="139" w:dyaOrig="260">
          <v:shape id="_x0000_i1050" type="#_x0000_t75" style="width:9pt;height:17.4pt" o:ole="">
            <v:imagedata r:id="rId19" o:title=""/>
          </v:shape>
          <o:OLEObject Type="Embed" ProgID="Equation.3" ShapeID="_x0000_i1050" DrawAspect="Content" ObjectID="_1594126977" r:id="rId54"/>
        </w:object>
      </w:r>
      <w:r w:rsidRPr="0022279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</w:t>
      </w:r>
      <w:r w:rsidRPr="002227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працівника</w:t>
      </w:r>
      <w:r w:rsidRPr="00222799">
        <w:rPr>
          <w:sz w:val="28"/>
          <w:szCs w:val="28"/>
          <w:lang w:val="uk-UA"/>
        </w:rPr>
        <w:t>.</w:t>
      </w:r>
    </w:p>
    <w:p w:rsidR="005D734D" w:rsidRPr="00FB0304" w:rsidRDefault="005D734D" w:rsidP="00B42E5C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 w:rsidRPr="00222799">
        <w:rPr>
          <w:sz w:val="28"/>
          <w:szCs w:val="28"/>
          <w:lang w:val="uk-UA"/>
        </w:rPr>
        <w:t xml:space="preserve">По основних показниках ОЗПП розраховано характеристики надійності їх оцінювання. </w:t>
      </w:r>
      <w:r w:rsidRPr="00222799">
        <w:rPr>
          <w:color w:val="000000"/>
          <w:sz w:val="28"/>
          <w:szCs w:val="28"/>
          <w:lang w:val="uk-UA"/>
        </w:rPr>
        <w:t xml:space="preserve">Зі статистичного погляду, оцінка певного показника за результатами вибіркового обстеження є надійною, якщо вибіркові оцінки, </w:t>
      </w:r>
      <w:r w:rsidRPr="00222799">
        <w:rPr>
          <w:color w:val="000000"/>
          <w:sz w:val="28"/>
          <w:szCs w:val="28"/>
          <w:lang w:val="uk-UA"/>
        </w:rPr>
        <w:lastRenderedPageBreak/>
        <w:t>побудовані на основі значної кількості можливих вибірок однакового дизайну та обсягу, сконцентровані біля дійсного значення</w:t>
      </w:r>
      <w:r w:rsidRPr="00FB0304">
        <w:rPr>
          <w:color w:val="000000"/>
          <w:sz w:val="28"/>
          <w:szCs w:val="28"/>
          <w:lang w:val="uk-UA"/>
        </w:rPr>
        <w:t xml:space="preserve"> показника. Висока концентрація, тобто надійність, є бажаною тому, що на практиці процедура відбору реалізується лише один раз і дійсні значення показників невідомі. </w:t>
      </w:r>
    </w:p>
    <w:p w:rsidR="005D734D" w:rsidRPr="005D734D" w:rsidRDefault="005D734D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34D">
        <w:rPr>
          <w:rFonts w:ascii="Times New Roman" w:hAnsi="Times New Roman" w:cs="Times New Roman"/>
          <w:color w:val="000000"/>
          <w:sz w:val="28"/>
          <w:szCs w:val="28"/>
        </w:rPr>
        <w:t xml:space="preserve">Близькість оцінки до реального значення показника, тобто її надійність, має два аспекти: </w:t>
      </w:r>
    </w:p>
    <w:p w:rsidR="005D734D" w:rsidRPr="005D734D" w:rsidRDefault="005D734D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34D">
        <w:rPr>
          <w:rFonts w:ascii="Times New Roman" w:hAnsi="Times New Roman" w:cs="Times New Roman"/>
          <w:color w:val="000000"/>
          <w:sz w:val="28"/>
          <w:szCs w:val="28"/>
        </w:rPr>
        <w:t>вибіркові оцінки, отримані за різними вибірками, мають малу дисперсію;</w:t>
      </w:r>
    </w:p>
    <w:p w:rsidR="005D734D" w:rsidRPr="005D734D" w:rsidRDefault="005D734D" w:rsidP="00B42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34D">
        <w:rPr>
          <w:rFonts w:ascii="Times New Roman" w:hAnsi="Times New Roman" w:cs="Times New Roman"/>
          <w:color w:val="000000"/>
          <w:sz w:val="28"/>
          <w:szCs w:val="28"/>
        </w:rPr>
        <w:t>середнє значення оцінок показника близьке до дійсного значення, тобто зміщення відсутнє або має відносно незначну величину.</w:t>
      </w:r>
    </w:p>
    <w:p w:rsidR="005D734D" w:rsidRDefault="005D734D" w:rsidP="00B42E5C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6D4968">
        <w:rPr>
          <w:color w:val="000000"/>
          <w:sz w:val="28"/>
          <w:szCs w:val="28"/>
          <w:lang w:val="uk-UA"/>
        </w:rPr>
        <w:t xml:space="preserve">Однією з головних характеристик надійності оцінки показника, розрахованого на підставі даних вибіркового обстеження, є похибка вибірки, яка є мірою ступеня варіативності результатів обстеження (оцінок показників) за всіма можливими вибірками за умови відсутності похибок, не пов’язаних з вибіркою. </w:t>
      </w:r>
      <w:r w:rsidRPr="00AA65A8">
        <w:rPr>
          <w:color w:val="000000"/>
          <w:sz w:val="28"/>
          <w:szCs w:val="28"/>
          <w:lang w:val="ru-RU"/>
        </w:rPr>
        <w:t xml:space="preserve">Для визначення похибки вибірки оцінювання </w:t>
      </w:r>
      <w:r w:rsidRPr="005D734D">
        <w:rPr>
          <w:sz w:val="28"/>
          <w:szCs w:val="28"/>
          <w:lang w:val="uk-UA"/>
        </w:rPr>
        <w:t>показників ОЗПП використовуються такі характеристики: стандартна похибка, гранична похибка, коефіцієнт варіації (відносна стандартна похибка).</w:t>
      </w:r>
    </w:p>
    <w:p w:rsidR="00C3312C" w:rsidRPr="00C3312C" w:rsidRDefault="00C3312C" w:rsidP="00B4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Стандартна похибка вибірки </w:t>
      </w:r>
      <w:r w:rsidRPr="00C3312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80">
          <v:shape id="_x0000_i1051" type="#_x0000_t75" style="width:36.6pt;height:20.4pt" o:ole="">
            <v:imagedata r:id="rId55" o:title=""/>
          </v:shape>
          <o:OLEObject Type="Embed" ProgID="Equation.3" ShapeID="_x0000_i1051" DrawAspect="Content" ObjectID="_1594126978" r:id="rId56"/>
        </w:object>
      </w:r>
      <w:r w:rsidRPr="00C3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оцінюванні показника </w:t>
      </w:r>
      <w:r w:rsidRPr="00C3312C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80" w:dyaOrig="200">
          <v:shape id="_x0000_i1052" type="#_x0000_t75" style="width:10.8pt;height:11.4pt" o:ole="">
            <v:imagedata r:id="rId57" o:title=""/>
          </v:shape>
          <o:OLEObject Type="Embed" ProgID="Equation.3" ShapeID="_x0000_i1052" DrawAspect="Content" ObjectID="_1594126979" r:id="rId58"/>
        </w:object>
      </w:r>
      <w:r w:rsidRPr="00C3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розраховується як корінь квадратний з дисперсії вибіркових оцінок. Для імовірнісних вибірок, якою є і вибірка побудована для ОЗПП, дисперсія вибіркових оцінок може бути визначена на основі дисперсії ознаки, за якою визначається показник, по одиницях вибірки при однократній її реалізації.</w:t>
      </w:r>
    </w:p>
    <w:p w:rsidR="00C3312C" w:rsidRPr="00C3312C" w:rsidRDefault="00C3312C" w:rsidP="00B4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Гранична похибка </w:t>
      </w:r>
      <w:r w:rsidRPr="00C3312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60" w:dyaOrig="380">
          <v:shape id="_x0000_i1053" type="#_x0000_t75" style="width:39pt;height:19.2pt" o:ole="">
            <v:imagedata r:id="rId59" o:title=""/>
          </v:shape>
          <o:OLEObject Type="Embed" ProgID="Equation.3" ShapeID="_x0000_i1053" DrawAspect="Content" ObjectID="_1594126980" r:id="rId60"/>
        </w:objec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визначає межі довірчого інтервалу для оцінки показника і є максимально можливою похибкою вибірки за певної довірчої ймовірності. Для ОЗПП довірчу імовірність встановлено на рівні 95%, тобто передбачається, що для кожних 95 зі 100 вибірок даного дизайну та обсягу вибіркова похибка оцінки показника є меншою за </w:t>
      </w:r>
      <w:r w:rsidRPr="00C3312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60" w:dyaOrig="380">
          <v:shape id="_x0000_i1054" type="#_x0000_t75" style="width:40.8pt;height:20.4pt" o:ole="">
            <v:imagedata r:id="rId61" o:title=""/>
          </v:shape>
          <o:OLEObject Type="Embed" ProgID="Equation.3" ShapeID="_x0000_i1054" DrawAspect="Content" ObjectID="_1594126981" r:id="rId62"/>
        </w:objec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цьому оцінка показника </w:t>
      </w:r>
      <w:r w:rsidRPr="00C3312C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40" w:dyaOrig="320">
          <v:shape id="_x0000_i1055" type="#_x0000_t75" style="width:15pt;height:14.4pt" o:ole="">
            <v:imagedata r:id="rId63" o:title=""/>
          </v:shape>
          <o:OLEObject Type="Embed" ProgID="Equation.3" ShapeID="_x0000_i1055" DrawAspect="Content" ObjectID="_1594126982" r:id="rId64"/>
        </w:objec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імовірністю 0,95 знаходиться в інтервалі від </w:t>
      </w:r>
      <w:r w:rsidRPr="00C3312C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1160" w:dyaOrig="380">
          <v:shape id="_x0000_i1056" type="#_x0000_t75" style="width:57.6pt;height:20.4pt" o:ole="">
            <v:imagedata r:id="rId65" o:title=""/>
          </v:shape>
          <o:OLEObject Type="Embed" ProgID="Equation.3" ShapeID="_x0000_i1056" DrawAspect="Content" ObjectID="_1594126983" r:id="rId66"/>
        </w:objec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C3312C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1180" w:dyaOrig="380">
          <v:shape id="_x0000_i1057" type="#_x0000_t75" style="width:63pt;height:21pt" o:ole="">
            <v:imagedata r:id="rId67" o:title=""/>
          </v:shape>
          <o:OLEObject Type="Embed" ProgID="Equation.3" ShapeID="_x0000_i1057" DrawAspect="Content" ObjectID="_1594126984" r:id="rId68"/>
        </w:objec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зазначеного рівня довірчої імовірності гранична похибка дорівнює 1,96·</w:t>
      </w:r>
      <w:r w:rsidRPr="00C3312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80">
          <v:shape id="_x0000_i1058" type="#_x0000_t75" style="width:39pt;height:21pt" o:ole="">
            <v:imagedata r:id="rId69" o:title=""/>
          </v:shape>
          <o:OLEObject Type="Embed" ProgID="Equation.3" ShapeID="_x0000_i1058" DrawAspect="Content" ObjectID="_1594126985" r:id="rId70"/>
        </w:objec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12C" w:rsidRPr="00C3312C" w:rsidRDefault="00C3312C" w:rsidP="00B4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Стандартна та гранична похибки є абсолютними величинами і вимірюються у тих самих одиницях, що і показник</w:t>
      </w:r>
      <w:r w:rsidR="00B2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надійність якого вони визначають.</w:t>
      </w:r>
      <w:r w:rsidRPr="00C3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3312C" w:rsidRPr="00C3312C" w:rsidRDefault="00C3312C" w:rsidP="00B4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1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Коефіцієнт варіації </w:t>
      </w:r>
      <w:r w:rsidRPr="00C3312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40" w:dyaOrig="380">
          <v:shape id="_x0000_i1059" type="#_x0000_t75" style="width:42pt;height:22.2pt" o:ole="">
            <v:imagedata r:id="rId71" o:title=""/>
          </v:shape>
          <o:OLEObject Type="Embed" ProgID="Equation.3" ShapeID="_x0000_i1059" DrawAspect="Content" ObjectID="_1594126986" r:id="rId72"/>
        </w:object>
      </w:r>
      <w:r w:rsidRPr="00C331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</w:t>
      </w:r>
      <w:r w:rsidRPr="00C331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відношення</w:t>
      </w:r>
      <w:r w:rsidRPr="00C3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величини стандартної похибки до оцінки показника. Коефіцієнт варіації є відносною характеристикою похибки вибірки. Він є безрозмірним або може виражатися у відсотках величини оцінки показника. </w: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відносних похибок дає можливість  порівнювати рівні надійності оцінювання різних за змістом показників.</w:t>
      </w:r>
    </w:p>
    <w:p w:rsidR="00C3312C" w:rsidRPr="00C3312C" w:rsidRDefault="00C3312C" w:rsidP="00B4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  <w:lang w:eastAsia="ru-RU"/>
        </w:rPr>
      </w:pPr>
      <w:r w:rsidRPr="00C33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вибірок зі складним дизайном, як правило, неможливо визначити</w:t>
      </w:r>
      <w:r w:rsidRPr="00C3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точні значення характеристик похибки вибірки. Ці характеристики визначаються наближено на основі спеціальних статистичних методів. </w:t>
      </w:r>
    </w:p>
    <w:sectPr w:rsidR="00C3312C" w:rsidRPr="00C3312C" w:rsidSect="002340F7">
      <w:headerReference w:type="default" r:id="rId73"/>
      <w:footerReference w:type="default" r:id="rId7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E2" w:rsidRDefault="00CC1FE2" w:rsidP="004B66A9">
      <w:pPr>
        <w:spacing w:after="0" w:line="240" w:lineRule="auto"/>
      </w:pPr>
      <w:r>
        <w:separator/>
      </w:r>
    </w:p>
  </w:endnote>
  <w:endnote w:type="continuationSeparator" w:id="0">
    <w:p w:rsidR="00CC1FE2" w:rsidRDefault="00CC1FE2" w:rsidP="004B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946" w:rsidRDefault="000F7946">
    <w:pPr>
      <w:pStyle w:val="af8"/>
      <w:jc w:val="center"/>
    </w:pPr>
  </w:p>
  <w:p w:rsidR="000F7946" w:rsidRDefault="000F794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E2" w:rsidRDefault="00CC1FE2" w:rsidP="004B66A9">
      <w:pPr>
        <w:spacing w:after="0" w:line="240" w:lineRule="auto"/>
      </w:pPr>
      <w:r>
        <w:separator/>
      </w:r>
    </w:p>
  </w:footnote>
  <w:footnote w:type="continuationSeparator" w:id="0">
    <w:p w:rsidR="00CC1FE2" w:rsidRDefault="00CC1FE2" w:rsidP="004B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165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F7946" w:rsidRPr="002340F7" w:rsidRDefault="000F7946">
        <w:pPr>
          <w:pStyle w:val="af6"/>
          <w:jc w:val="center"/>
          <w:rPr>
            <w:rFonts w:ascii="Times New Roman" w:hAnsi="Times New Roman" w:cs="Times New Roman"/>
          </w:rPr>
        </w:pPr>
        <w:r w:rsidRPr="002340F7">
          <w:rPr>
            <w:rFonts w:ascii="Times New Roman" w:hAnsi="Times New Roman" w:cs="Times New Roman"/>
          </w:rPr>
          <w:fldChar w:fldCharType="begin"/>
        </w:r>
        <w:r w:rsidRPr="002340F7">
          <w:rPr>
            <w:rFonts w:ascii="Times New Roman" w:hAnsi="Times New Roman" w:cs="Times New Roman"/>
          </w:rPr>
          <w:instrText>PAGE   \* MERGEFORMAT</w:instrText>
        </w:r>
        <w:r w:rsidRPr="002340F7">
          <w:rPr>
            <w:rFonts w:ascii="Times New Roman" w:hAnsi="Times New Roman" w:cs="Times New Roman"/>
          </w:rPr>
          <w:fldChar w:fldCharType="separate"/>
        </w:r>
        <w:r w:rsidR="00CE6E9F">
          <w:rPr>
            <w:rFonts w:ascii="Times New Roman" w:hAnsi="Times New Roman" w:cs="Times New Roman"/>
            <w:noProof/>
          </w:rPr>
          <w:t>19</w:t>
        </w:r>
        <w:r w:rsidRPr="002340F7">
          <w:rPr>
            <w:rFonts w:ascii="Times New Roman" w:hAnsi="Times New Roman" w:cs="Times New Roman"/>
          </w:rPr>
          <w:fldChar w:fldCharType="end"/>
        </w:r>
      </w:p>
    </w:sdtContent>
  </w:sdt>
  <w:p w:rsidR="000F7946" w:rsidRDefault="000F7946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92"/>
    <w:rsid w:val="00001AFD"/>
    <w:rsid w:val="0000284F"/>
    <w:rsid w:val="00010681"/>
    <w:rsid w:val="00016591"/>
    <w:rsid w:val="0002588C"/>
    <w:rsid w:val="00025BBB"/>
    <w:rsid w:val="000347AD"/>
    <w:rsid w:val="00045123"/>
    <w:rsid w:val="000473E0"/>
    <w:rsid w:val="00053691"/>
    <w:rsid w:val="0005493F"/>
    <w:rsid w:val="00071529"/>
    <w:rsid w:val="00090363"/>
    <w:rsid w:val="00091396"/>
    <w:rsid w:val="00091A09"/>
    <w:rsid w:val="00095DFE"/>
    <w:rsid w:val="0009664F"/>
    <w:rsid w:val="00096CC1"/>
    <w:rsid w:val="000A0835"/>
    <w:rsid w:val="000A55E7"/>
    <w:rsid w:val="000B1ED3"/>
    <w:rsid w:val="000B32FA"/>
    <w:rsid w:val="000C0D73"/>
    <w:rsid w:val="000C66F7"/>
    <w:rsid w:val="000E03F5"/>
    <w:rsid w:val="000E3996"/>
    <w:rsid w:val="000E3F53"/>
    <w:rsid w:val="000F7946"/>
    <w:rsid w:val="00103F25"/>
    <w:rsid w:val="00120C51"/>
    <w:rsid w:val="00121E92"/>
    <w:rsid w:val="00124F4B"/>
    <w:rsid w:val="00130268"/>
    <w:rsid w:val="0014121D"/>
    <w:rsid w:val="00146C8D"/>
    <w:rsid w:val="00156A5A"/>
    <w:rsid w:val="00157554"/>
    <w:rsid w:val="00167140"/>
    <w:rsid w:val="001766E3"/>
    <w:rsid w:val="0018242D"/>
    <w:rsid w:val="00195CFD"/>
    <w:rsid w:val="001A12FE"/>
    <w:rsid w:val="001B4246"/>
    <w:rsid w:val="001C20C1"/>
    <w:rsid w:val="001C2B2C"/>
    <w:rsid w:val="001C4A91"/>
    <w:rsid w:val="001D0F57"/>
    <w:rsid w:val="001E3909"/>
    <w:rsid w:val="001E5A17"/>
    <w:rsid w:val="001F3024"/>
    <w:rsid w:val="001F5ECB"/>
    <w:rsid w:val="0020055C"/>
    <w:rsid w:val="00212818"/>
    <w:rsid w:val="00217100"/>
    <w:rsid w:val="00217441"/>
    <w:rsid w:val="00217733"/>
    <w:rsid w:val="0022421F"/>
    <w:rsid w:val="00230431"/>
    <w:rsid w:val="002340F7"/>
    <w:rsid w:val="00235814"/>
    <w:rsid w:val="00244841"/>
    <w:rsid w:val="002759C2"/>
    <w:rsid w:val="00280198"/>
    <w:rsid w:val="00285E05"/>
    <w:rsid w:val="00293587"/>
    <w:rsid w:val="002C0B50"/>
    <w:rsid w:val="002C3B5D"/>
    <w:rsid w:val="002D0DD6"/>
    <w:rsid w:val="002D23B5"/>
    <w:rsid w:val="003056F5"/>
    <w:rsid w:val="003232F7"/>
    <w:rsid w:val="00323DB8"/>
    <w:rsid w:val="003403B1"/>
    <w:rsid w:val="00340E2F"/>
    <w:rsid w:val="003421E1"/>
    <w:rsid w:val="003531C5"/>
    <w:rsid w:val="00360EAA"/>
    <w:rsid w:val="00366B6A"/>
    <w:rsid w:val="003849FF"/>
    <w:rsid w:val="00387D8A"/>
    <w:rsid w:val="003A7706"/>
    <w:rsid w:val="003B241D"/>
    <w:rsid w:val="003B326A"/>
    <w:rsid w:val="003E012B"/>
    <w:rsid w:val="003F5FB9"/>
    <w:rsid w:val="00404C9E"/>
    <w:rsid w:val="00415EE3"/>
    <w:rsid w:val="00417BFC"/>
    <w:rsid w:val="0042050D"/>
    <w:rsid w:val="00431695"/>
    <w:rsid w:val="00434BCE"/>
    <w:rsid w:val="0044204A"/>
    <w:rsid w:val="00444714"/>
    <w:rsid w:val="00444F69"/>
    <w:rsid w:val="004524F3"/>
    <w:rsid w:val="00452C96"/>
    <w:rsid w:val="00452FC6"/>
    <w:rsid w:val="00453CDC"/>
    <w:rsid w:val="004651DF"/>
    <w:rsid w:val="0047202E"/>
    <w:rsid w:val="00481387"/>
    <w:rsid w:val="00490828"/>
    <w:rsid w:val="00494A5B"/>
    <w:rsid w:val="00495524"/>
    <w:rsid w:val="004A1D5B"/>
    <w:rsid w:val="004B66A9"/>
    <w:rsid w:val="004E3E90"/>
    <w:rsid w:val="004F0018"/>
    <w:rsid w:val="004F6954"/>
    <w:rsid w:val="005035C7"/>
    <w:rsid w:val="00504F27"/>
    <w:rsid w:val="00517A04"/>
    <w:rsid w:val="00523FC9"/>
    <w:rsid w:val="00526946"/>
    <w:rsid w:val="00527DB7"/>
    <w:rsid w:val="00531ECC"/>
    <w:rsid w:val="00534755"/>
    <w:rsid w:val="00541383"/>
    <w:rsid w:val="005440D7"/>
    <w:rsid w:val="00563DF2"/>
    <w:rsid w:val="00564810"/>
    <w:rsid w:val="00565696"/>
    <w:rsid w:val="0057534B"/>
    <w:rsid w:val="00581CF7"/>
    <w:rsid w:val="005863F6"/>
    <w:rsid w:val="00586696"/>
    <w:rsid w:val="005A6144"/>
    <w:rsid w:val="005B4E07"/>
    <w:rsid w:val="005C204C"/>
    <w:rsid w:val="005D734D"/>
    <w:rsid w:val="005F6190"/>
    <w:rsid w:val="006447B5"/>
    <w:rsid w:val="00645BF7"/>
    <w:rsid w:val="00657E0A"/>
    <w:rsid w:val="00661395"/>
    <w:rsid w:val="006671DD"/>
    <w:rsid w:val="00671AE0"/>
    <w:rsid w:val="0068341D"/>
    <w:rsid w:val="00684DF3"/>
    <w:rsid w:val="006A51FF"/>
    <w:rsid w:val="006D4968"/>
    <w:rsid w:val="006D49B7"/>
    <w:rsid w:val="006E194F"/>
    <w:rsid w:val="006E2638"/>
    <w:rsid w:val="006E4F7C"/>
    <w:rsid w:val="006F425B"/>
    <w:rsid w:val="006F4F51"/>
    <w:rsid w:val="006F62A3"/>
    <w:rsid w:val="0070366B"/>
    <w:rsid w:val="007040E9"/>
    <w:rsid w:val="007127C6"/>
    <w:rsid w:val="00713489"/>
    <w:rsid w:val="00717B5B"/>
    <w:rsid w:val="007227D5"/>
    <w:rsid w:val="00733D05"/>
    <w:rsid w:val="00745B41"/>
    <w:rsid w:val="007467F7"/>
    <w:rsid w:val="00746D2E"/>
    <w:rsid w:val="0075193D"/>
    <w:rsid w:val="007525BF"/>
    <w:rsid w:val="00771517"/>
    <w:rsid w:val="0079141D"/>
    <w:rsid w:val="007926E1"/>
    <w:rsid w:val="007A5B1E"/>
    <w:rsid w:val="007B173E"/>
    <w:rsid w:val="007B47A3"/>
    <w:rsid w:val="007C04C3"/>
    <w:rsid w:val="007D759F"/>
    <w:rsid w:val="007F1045"/>
    <w:rsid w:val="007F1137"/>
    <w:rsid w:val="007F641E"/>
    <w:rsid w:val="007F7722"/>
    <w:rsid w:val="008014BE"/>
    <w:rsid w:val="00807AF9"/>
    <w:rsid w:val="008114A8"/>
    <w:rsid w:val="00821C26"/>
    <w:rsid w:val="00830BDD"/>
    <w:rsid w:val="00835E92"/>
    <w:rsid w:val="00853AAA"/>
    <w:rsid w:val="00854495"/>
    <w:rsid w:val="0085788D"/>
    <w:rsid w:val="00865FCA"/>
    <w:rsid w:val="008707D9"/>
    <w:rsid w:val="00874F6E"/>
    <w:rsid w:val="0088242F"/>
    <w:rsid w:val="008866F5"/>
    <w:rsid w:val="00887EE9"/>
    <w:rsid w:val="008C3163"/>
    <w:rsid w:val="008C4E80"/>
    <w:rsid w:val="008D5B1C"/>
    <w:rsid w:val="008E284E"/>
    <w:rsid w:val="008E5501"/>
    <w:rsid w:val="008F4302"/>
    <w:rsid w:val="008F5DB1"/>
    <w:rsid w:val="00903C86"/>
    <w:rsid w:val="00915273"/>
    <w:rsid w:val="00941BE6"/>
    <w:rsid w:val="0094629C"/>
    <w:rsid w:val="009511A8"/>
    <w:rsid w:val="00960BF1"/>
    <w:rsid w:val="00960EEC"/>
    <w:rsid w:val="009612BE"/>
    <w:rsid w:val="0096405E"/>
    <w:rsid w:val="00976B2C"/>
    <w:rsid w:val="0098590F"/>
    <w:rsid w:val="009861E2"/>
    <w:rsid w:val="00995ED4"/>
    <w:rsid w:val="009A78E8"/>
    <w:rsid w:val="009B2215"/>
    <w:rsid w:val="009C39B6"/>
    <w:rsid w:val="009C40AC"/>
    <w:rsid w:val="009D4115"/>
    <w:rsid w:val="009D580A"/>
    <w:rsid w:val="009E23CE"/>
    <w:rsid w:val="009F5C60"/>
    <w:rsid w:val="00A002EC"/>
    <w:rsid w:val="00A00D21"/>
    <w:rsid w:val="00A04142"/>
    <w:rsid w:val="00A214FC"/>
    <w:rsid w:val="00A255D0"/>
    <w:rsid w:val="00A33EFA"/>
    <w:rsid w:val="00A343CC"/>
    <w:rsid w:val="00A40173"/>
    <w:rsid w:val="00A43336"/>
    <w:rsid w:val="00A63950"/>
    <w:rsid w:val="00A76A2B"/>
    <w:rsid w:val="00A9799B"/>
    <w:rsid w:val="00AA65A8"/>
    <w:rsid w:val="00AB65B0"/>
    <w:rsid w:val="00AB6C98"/>
    <w:rsid w:val="00AC040D"/>
    <w:rsid w:val="00AC291C"/>
    <w:rsid w:val="00AE1AE2"/>
    <w:rsid w:val="00B00FD0"/>
    <w:rsid w:val="00B023C2"/>
    <w:rsid w:val="00B10426"/>
    <w:rsid w:val="00B1325F"/>
    <w:rsid w:val="00B15BE4"/>
    <w:rsid w:val="00B17E5C"/>
    <w:rsid w:val="00B24B26"/>
    <w:rsid w:val="00B30D78"/>
    <w:rsid w:val="00B4222D"/>
    <w:rsid w:val="00B42E5C"/>
    <w:rsid w:val="00B46074"/>
    <w:rsid w:val="00B535A5"/>
    <w:rsid w:val="00B61FC7"/>
    <w:rsid w:val="00B63DB5"/>
    <w:rsid w:val="00B82157"/>
    <w:rsid w:val="00BA0851"/>
    <w:rsid w:val="00BB18D0"/>
    <w:rsid w:val="00BB5900"/>
    <w:rsid w:val="00BB6476"/>
    <w:rsid w:val="00BC65F9"/>
    <w:rsid w:val="00BF6867"/>
    <w:rsid w:val="00BF6E7A"/>
    <w:rsid w:val="00C014E0"/>
    <w:rsid w:val="00C05A8B"/>
    <w:rsid w:val="00C072A8"/>
    <w:rsid w:val="00C14D0D"/>
    <w:rsid w:val="00C16358"/>
    <w:rsid w:val="00C2577F"/>
    <w:rsid w:val="00C30C3B"/>
    <w:rsid w:val="00C3312C"/>
    <w:rsid w:val="00C3319B"/>
    <w:rsid w:val="00C3499E"/>
    <w:rsid w:val="00C5459F"/>
    <w:rsid w:val="00C60E38"/>
    <w:rsid w:val="00C90CCC"/>
    <w:rsid w:val="00C90F38"/>
    <w:rsid w:val="00C926E1"/>
    <w:rsid w:val="00C94F00"/>
    <w:rsid w:val="00C97342"/>
    <w:rsid w:val="00CA5D7B"/>
    <w:rsid w:val="00CB6B0F"/>
    <w:rsid w:val="00CB6BE2"/>
    <w:rsid w:val="00CC1FE2"/>
    <w:rsid w:val="00CD6423"/>
    <w:rsid w:val="00CE0BC7"/>
    <w:rsid w:val="00CE2712"/>
    <w:rsid w:val="00CE3845"/>
    <w:rsid w:val="00CE3E89"/>
    <w:rsid w:val="00CE6E9F"/>
    <w:rsid w:val="00CF3916"/>
    <w:rsid w:val="00CF6D15"/>
    <w:rsid w:val="00D031FD"/>
    <w:rsid w:val="00D12B9E"/>
    <w:rsid w:val="00D167E1"/>
    <w:rsid w:val="00D24390"/>
    <w:rsid w:val="00D40F1A"/>
    <w:rsid w:val="00D42C70"/>
    <w:rsid w:val="00D55D3E"/>
    <w:rsid w:val="00D6717A"/>
    <w:rsid w:val="00D91A35"/>
    <w:rsid w:val="00DA0EBF"/>
    <w:rsid w:val="00DB3BD5"/>
    <w:rsid w:val="00DC0EE9"/>
    <w:rsid w:val="00DE0024"/>
    <w:rsid w:val="00DE2289"/>
    <w:rsid w:val="00DE26C2"/>
    <w:rsid w:val="00DE7FEE"/>
    <w:rsid w:val="00DF1807"/>
    <w:rsid w:val="00E06567"/>
    <w:rsid w:val="00E114DD"/>
    <w:rsid w:val="00E13BE6"/>
    <w:rsid w:val="00E322A5"/>
    <w:rsid w:val="00E4650B"/>
    <w:rsid w:val="00E53670"/>
    <w:rsid w:val="00E552A7"/>
    <w:rsid w:val="00E56CB5"/>
    <w:rsid w:val="00E64237"/>
    <w:rsid w:val="00E76E1D"/>
    <w:rsid w:val="00E8434F"/>
    <w:rsid w:val="00E85CFF"/>
    <w:rsid w:val="00E944A9"/>
    <w:rsid w:val="00E94701"/>
    <w:rsid w:val="00EC76E2"/>
    <w:rsid w:val="00ED3CAE"/>
    <w:rsid w:val="00ED5E1B"/>
    <w:rsid w:val="00EE0113"/>
    <w:rsid w:val="00EE0850"/>
    <w:rsid w:val="00EE1D19"/>
    <w:rsid w:val="00EF1205"/>
    <w:rsid w:val="00EF5BE0"/>
    <w:rsid w:val="00EF6148"/>
    <w:rsid w:val="00F008A2"/>
    <w:rsid w:val="00F01873"/>
    <w:rsid w:val="00F24DD7"/>
    <w:rsid w:val="00F351C4"/>
    <w:rsid w:val="00F47D79"/>
    <w:rsid w:val="00F5327A"/>
    <w:rsid w:val="00F61F37"/>
    <w:rsid w:val="00F675A7"/>
    <w:rsid w:val="00F7616B"/>
    <w:rsid w:val="00F915BC"/>
    <w:rsid w:val="00F93DBF"/>
    <w:rsid w:val="00FA165C"/>
    <w:rsid w:val="00FA2E98"/>
    <w:rsid w:val="00FB0896"/>
    <w:rsid w:val="00FB1007"/>
    <w:rsid w:val="00FB6149"/>
    <w:rsid w:val="00FD27EB"/>
    <w:rsid w:val="00FD38F3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E8352C-3F55-4389-91F6-2CA05300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FA"/>
  </w:style>
  <w:style w:type="paragraph" w:styleId="1">
    <w:name w:val="heading 1"/>
    <w:basedOn w:val="a"/>
    <w:next w:val="a"/>
    <w:link w:val="10"/>
    <w:uiPriority w:val="9"/>
    <w:qFormat/>
    <w:rsid w:val="000B3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2F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2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B32FA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B32FA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32FA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32FA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3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32FA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32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32FA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32F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B32FA"/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32FA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32FA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B32FA"/>
    <w:rPr>
      <w:b/>
      <w:bCs/>
    </w:rPr>
  </w:style>
  <w:style w:type="character" w:styleId="a9">
    <w:name w:val="Emphasis"/>
    <w:basedOn w:val="a0"/>
    <w:uiPriority w:val="20"/>
    <w:qFormat/>
    <w:rsid w:val="000B32FA"/>
    <w:rPr>
      <w:i/>
      <w:iCs/>
    </w:rPr>
  </w:style>
  <w:style w:type="paragraph" w:styleId="aa">
    <w:name w:val="No Spacing"/>
    <w:uiPriority w:val="1"/>
    <w:qFormat/>
    <w:rsid w:val="000B32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656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32F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32F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B32FA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B32FA"/>
    <w:rPr>
      <w:b/>
      <w:bCs/>
      <w:i/>
      <w:iCs/>
      <w:color w:val="DDDDDD" w:themeColor="accent1"/>
    </w:rPr>
  </w:style>
  <w:style w:type="character" w:styleId="ae">
    <w:name w:val="Subtle Emphasis"/>
    <w:basedOn w:val="a0"/>
    <w:uiPriority w:val="19"/>
    <w:qFormat/>
    <w:rsid w:val="000B32F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B32FA"/>
    <w:rPr>
      <w:b/>
      <w:bCs/>
      <w:i/>
      <w:iCs/>
      <w:color w:val="DDDDDD" w:themeColor="accent1"/>
    </w:rPr>
  </w:style>
  <w:style w:type="character" w:styleId="af0">
    <w:name w:val="Subtle Reference"/>
    <w:basedOn w:val="a0"/>
    <w:uiPriority w:val="31"/>
    <w:qFormat/>
    <w:rsid w:val="000B32FA"/>
    <w:rPr>
      <w:smallCaps/>
      <w:color w:val="B2B2B2" w:themeColor="accent2"/>
      <w:u w:val="single"/>
    </w:rPr>
  </w:style>
  <w:style w:type="character" w:styleId="af1">
    <w:name w:val="Intense Reference"/>
    <w:basedOn w:val="a0"/>
    <w:uiPriority w:val="32"/>
    <w:qFormat/>
    <w:rsid w:val="000B32FA"/>
    <w:rPr>
      <w:b/>
      <w:bCs/>
      <w:smallCaps/>
      <w:color w:val="B2B2B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B32F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B32FA"/>
    <w:pPr>
      <w:outlineLvl w:val="9"/>
    </w:pPr>
  </w:style>
  <w:style w:type="paragraph" w:customStyle="1" w:styleId="Default">
    <w:name w:val="Default"/>
    <w:rsid w:val="00121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CharChar">
    <w:name w:val="Char Char2 Знак Знак Char Char Знак Знак Знак"/>
    <w:basedOn w:val="a"/>
    <w:rsid w:val="0085788D"/>
    <w:pPr>
      <w:spacing w:after="0" w:line="240" w:lineRule="auto"/>
    </w:pPr>
    <w:rPr>
      <w:rFonts w:ascii="Verdana" w:eastAsia="Times New Roman" w:hAnsi="Verdana" w:cs="Verdana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66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671DD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4B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B66A9"/>
  </w:style>
  <w:style w:type="paragraph" w:styleId="af8">
    <w:name w:val="footer"/>
    <w:basedOn w:val="a"/>
    <w:link w:val="af9"/>
    <w:uiPriority w:val="99"/>
    <w:unhideWhenUsed/>
    <w:rsid w:val="004B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B66A9"/>
  </w:style>
  <w:style w:type="character" w:styleId="afa">
    <w:name w:val="Hyperlink"/>
    <w:basedOn w:val="a0"/>
    <w:uiPriority w:val="99"/>
    <w:unhideWhenUsed/>
    <w:rsid w:val="00661395"/>
    <w:rPr>
      <w:color w:val="5F5F5F" w:themeColor="hyperlink"/>
      <w:u w:val="single"/>
    </w:rPr>
  </w:style>
  <w:style w:type="table" w:styleId="afb">
    <w:name w:val="Table Grid"/>
    <w:basedOn w:val="a1"/>
    <w:uiPriority w:val="39"/>
    <w:rsid w:val="00E13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B61F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ps">
    <w:name w:val="hps"/>
    <w:rsid w:val="00B61FC7"/>
  </w:style>
  <w:style w:type="paragraph" w:customStyle="1" w:styleId="PlainText1">
    <w:name w:val="Plain Text1"/>
    <w:basedOn w:val="a"/>
    <w:rsid w:val="005D73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9.bin"/><Relationship Id="rId11" Type="http://schemas.openxmlformats.org/officeDocument/2006/relationships/package" Target="embeddings/______Microsoft_Excel2.xlsx"/><Relationship Id="rId24" Type="http://schemas.openxmlformats.org/officeDocument/2006/relationships/image" Target="media/image8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19" Type="http://schemas.openxmlformats.org/officeDocument/2006/relationships/image" Target="media/image6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28.wmf"/><Relationship Id="rId8" Type="http://schemas.openxmlformats.org/officeDocument/2006/relationships/image" Target="media/image1.emf"/><Relationship Id="rId51" Type="http://schemas.openxmlformats.org/officeDocument/2006/relationships/image" Target="media/image20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hyperlink" Target="http://ukrstat.gov.ua/druk/" TargetMode="External"/><Relationship Id="rId17" Type="http://schemas.openxmlformats.org/officeDocument/2006/relationships/image" Target="media/image5.wmf"/><Relationship Id="rId25" Type="http://schemas.openxmlformats.org/officeDocument/2006/relationships/oleObject" Target="embeddings/oleObject7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image" Target="media/image2.emf"/><Relationship Id="rId31" Type="http://schemas.openxmlformats.org/officeDocument/2006/relationships/oleObject" Target="embeddings/oleObject10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6.wmf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Excel1.xlsx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1.wmf"/><Relationship Id="rId76" Type="http://schemas.openxmlformats.org/officeDocument/2006/relationships/theme" Target="theme/theme1.xml"/><Relationship Id="rId7" Type="http://schemas.openxmlformats.org/officeDocument/2006/relationships/hyperlink" Target="mailto:T.Bochkareva@ukrstat.gov.ua" TargetMode="External"/><Relationship Id="rId71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BF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CDA6-0751-4A90-8765-09365CE3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3428</TotalTime>
  <Pages>19</Pages>
  <Words>23956</Words>
  <Characters>13656</Characters>
  <Application>Microsoft Office Word</Application>
  <DocSecurity>0</DocSecurity>
  <Lines>113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V.Petrunjok</dc:creator>
  <cp:keywords/>
  <dc:description/>
  <cp:lastModifiedBy>N.Denysova</cp:lastModifiedBy>
  <cp:revision>161</cp:revision>
  <cp:lastPrinted>2014-10-20T07:28:00Z</cp:lastPrinted>
  <dcterms:created xsi:type="dcterms:W3CDTF">2014-09-25T07:12:00Z</dcterms:created>
  <dcterms:modified xsi:type="dcterms:W3CDTF">2018-07-26T13:13:00Z</dcterms:modified>
</cp:coreProperties>
</file>