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416" w:rsidRPr="00250416" w:rsidRDefault="00250416" w:rsidP="00250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04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БАЗОВИЙ ЗВІТ ЩОДО ЯКОСТІ РЕЗУЛЬТАТІВ </w:t>
      </w:r>
    </w:p>
    <w:p w:rsidR="00250416" w:rsidRPr="00250416" w:rsidRDefault="00250416" w:rsidP="00250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04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ВИБІРКОВОГО ОБСТЕЖЕННЯ СІЛЬСЬКО</w:t>
      </w:r>
      <w:bookmarkStart w:id="0" w:name="_GoBack"/>
      <w:bookmarkEnd w:id="0"/>
      <w:r w:rsidRPr="002504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ГОСПОДАРСЬКОЇ ДІЯЛЬНО</w:t>
      </w:r>
      <w:r w:rsidRPr="002504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2504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ТІ ДОМОГОСПОДАРСТВ У СІЛЬСЬКІЙ МІСЦЕВОСТІ</w:t>
      </w:r>
    </w:p>
    <w:p w:rsidR="00250416" w:rsidRPr="00250416" w:rsidRDefault="00250416" w:rsidP="00250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04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(за результатами базового інтерв'ю </w:t>
      </w:r>
      <w:r w:rsidR="004B3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2016</w:t>
      </w:r>
      <w:r w:rsidRPr="002504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року)</w:t>
      </w:r>
    </w:p>
    <w:p w:rsidR="00E43CA4" w:rsidRDefault="00E43CA4" w:rsidP="00250416">
      <w:pPr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val="en-US" w:eastAsia="ru-RU"/>
        </w:rPr>
      </w:pPr>
    </w:p>
    <w:p w:rsidR="004A1933" w:rsidRPr="004A1933" w:rsidRDefault="004A1933" w:rsidP="004A1933">
      <w:pPr>
        <w:spacing w:before="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1933">
        <w:rPr>
          <w:rFonts w:ascii="Times New Roman" w:hAnsi="Times New Roman" w:cs="Times New Roman"/>
          <w:sz w:val="28"/>
          <w:szCs w:val="28"/>
          <w:lang w:eastAsia="ru-RU"/>
        </w:rPr>
        <w:t>Мета підготовки даного звіту – надання інформації щодо підсумків анал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зу якості результатів вибіркового обстеження сільськогосподарської діял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ності домогосподарств у сільській місцевості (далі – ОСГД). Цей звіт містить, голо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ним чином, динамічні дані щодо якості підсумків, тобто інформацію, яка безп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середньо характеризує результати обстеження (похибки вибірки, рівні участі домогосп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дарств тощо).</w:t>
      </w:r>
    </w:p>
    <w:p w:rsidR="004A1933" w:rsidRPr="004A1933" w:rsidRDefault="004A1933" w:rsidP="004A1933">
      <w:pPr>
        <w:spacing w:before="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1933">
        <w:rPr>
          <w:rFonts w:ascii="Times New Roman" w:hAnsi="Times New Roman" w:cs="Times New Roman"/>
          <w:sz w:val="28"/>
          <w:szCs w:val="28"/>
          <w:lang w:eastAsia="ru-RU"/>
        </w:rPr>
        <w:t>Оскільки ОСГД є обстеженням, яке вивчає питання, пов'язані з виробни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ц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твом продукції сільського господарства, в основу побудови його дизайну був покладений основний ресурсний показник – площа землі домогосп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дарств. Це визн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 xml:space="preserve">чило дві основні особливості даного обстеження: </w:t>
      </w:r>
    </w:p>
    <w:p w:rsidR="004A1933" w:rsidRPr="004A1933" w:rsidRDefault="004A1933" w:rsidP="004A1933">
      <w:pPr>
        <w:numPr>
          <w:ilvl w:val="0"/>
          <w:numId w:val="1"/>
        </w:numPr>
        <w:tabs>
          <w:tab w:val="clear" w:pos="1031"/>
          <w:tab w:val="left" w:pos="993"/>
        </w:tabs>
        <w:spacing w:before="4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1933">
        <w:rPr>
          <w:rFonts w:ascii="Times New Roman" w:hAnsi="Times New Roman" w:cs="Times New Roman"/>
          <w:sz w:val="28"/>
          <w:szCs w:val="28"/>
          <w:lang w:eastAsia="ru-RU"/>
        </w:rPr>
        <w:t>обстеження охоплює тільки сукупність домогосподарств, які мають у своєму володінні або кор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стуванні землю;</w:t>
      </w:r>
    </w:p>
    <w:p w:rsidR="004A1933" w:rsidRPr="004A1933" w:rsidRDefault="004A1933" w:rsidP="004A1933">
      <w:pPr>
        <w:numPr>
          <w:ilvl w:val="0"/>
          <w:numId w:val="1"/>
        </w:numPr>
        <w:tabs>
          <w:tab w:val="clear" w:pos="1031"/>
          <w:tab w:val="left" w:pos="993"/>
        </w:tabs>
        <w:spacing w:before="4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1933">
        <w:rPr>
          <w:rFonts w:ascii="Times New Roman" w:hAnsi="Times New Roman" w:cs="Times New Roman"/>
          <w:sz w:val="28"/>
          <w:szCs w:val="28"/>
          <w:lang w:eastAsia="ru-RU"/>
        </w:rPr>
        <w:t>відбір домогосподарств для обстеження і, відповідно, розрахунок ст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тистичних ваг, здій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нювався на основі показника "Площа землі".</w:t>
      </w:r>
    </w:p>
    <w:p w:rsidR="004A1933" w:rsidRPr="004A1933" w:rsidRDefault="004A1933" w:rsidP="004A1933">
      <w:pPr>
        <w:spacing w:before="40"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Водночас до програми ОСГД уключені як показники, безпосередньо пов'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я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зані з наявністю землі в домогосподарстві (посівні площі, наявність багаторічних нас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а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джень тощо), так і показники щодо наявності худоби і птиці, застосування певних методів господарювання, зв'язок яких з показником "Площа землі" є менш тісним. Для отримання коректних оцінок для таких показників у ОСГД застосов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у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ється калібрація статистичних ваг.</w:t>
      </w:r>
    </w:p>
    <w:p w:rsidR="004A1933" w:rsidRPr="004A1933" w:rsidRDefault="004A1933" w:rsidP="004A1933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A1933">
        <w:rPr>
          <w:rFonts w:ascii="Times New Roman" w:hAnsi="Times New Roman" w:cs="Times New Roman"/>
          <w:b/>
          <w:sz w:val="28"/>
          <w:szCs w:val="28"/>
          <w:lang w:eastAsia="ru-RU"/>
        </w:rPr>
        <w:t>1. Надійність</w:t>
      </w:r>
    </w:p>
    <w:p w:rsidR="004A1933" w:rsidRPr="004A1933" w:rsidRDefault="004A1933" w:rsidP="004A1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1933">
        <w:rPr>
          <w:rFonts w:ascii="Times New Roman" w:hAnsi="Times New Roman" w:cs="Times New Roman"/>
          <w:sz w:val="28"/>
          <w:szCs w:val="28"/>
          <w:lang w:eastAsia="ru-RU"/>
        </w:rPr>
        <w:t>За результатами базового інтерв'ю ОСГД, проведеного у травні 2016 р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ку, р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зраховані такі характеристики надійності, як граничні похибки вибірки та коефіцієнти варіації для оцінок значень пока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 xml:space="preserve">ників: </w:t>
      </w:r>
    </w:p>
    <w:p w:rsidR="004A1933" w:rsidRPr="004A1933" w:rsidRDefault="004A1933" w:rsidP="004A1933">
      <w:pPr>
        <w:numPr>
          <w:ilvl w:val="0"/>
          <w:numId w:val="1"/>
        </w:numPr>
        <w:tabs>
          <w:tab w:val="clear" w:pos="1031"/>
          <w:tab w:val="left" w:pos="993"/>
        </w:tabs>
        <w:spacing w:before="4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1933">
        <w:rPr>
          <w:rFonts w:ascii="Times New Roman" w:hAnsi="Times New Roman" w:cs="Times New Roman"/>
          <w:sz w:val="28"/>
          <w:szCs w:val="28"/>
          <w:lang w:eastAsia="ru-RU"/>
        </w:rPr>
        <w:t>площа землі домогосподарств;</w:t>
      </w:r>
    </w:p>
    <w:p w:rsidR="004A1933" w:rsidRPr="004A1933" w:rsidRDefault="004A1933" w:rsidP="004A1933">
      <w:pPr>
        <w:numPr>
          <w:ilvl w:val="0"/>
          <w:numId w:val="1"/>
        </w:numPr>
        <w:tabs>
          <w:tab w:val="clear" w:pos="1031"/>
          <w:tab w:val="left" w:pos="993"/>
        </w:tabs>
        <w:spacing w:before="40"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  <w:lang w:eastAsia="ru-RU"/>
        </w:rPr>
      </w:pPr>
      <w:r w:rsidRPr="004A1933">
        <w:rPr>
          <w:rFonts w:ascii="Times New Roman" w:hAnsi="Times New Roman" w:cs="Times New Roman"/>
          <w:spacing w:val="-6"/>
          <w:sz w:val="28"/>
          <w:szCs w:val="28"/>
          <w:lang w:eastAsia="ru-RU"/>
        </w:rPr>
        <w:t>середній розмір площі землі домогосподарства;</w:t>
      </w:r>
    </w:p>
    <w:p w:rsidR="004A1933" w:rsidRPr="004A1933" w:rsidRDefault="004A1933" w:rsidP="004A1933">
      <w:pPr>
        <w:numPr>
          <w:ilvl w:val="0"/>
          <w:numId w:val="1"/>
        </w:numPr>
        <w:tabs>
          <w:tab w:val="clear" w:pos="1031"/>
          <w:tab w:val="left" w:pos="993"/>
        </w:tabs>
        <w:spacing w:before="4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1933">
        <w:rPr>
          <w:rFonts w:ascii="Times New Roman" w:hAnsi="Times New Roman" w:cs="Times New Roman"/>
          <w:sz w:val="28"/>
          <w:szCs w:val="28"/>
          <w:lang w:eastAsia="ru-RU"/>
        </w:rPr>
        <w:t>поголів'я великої рогатої худоби;</w:t>
      </w:r>
    </w:p>
    <w:p w:rsidR="004A1933" w:rsidRPr="004A1933" w:rsidRDefault="004A1933" w:rsidP="004A1933">
      <w:pPr>
        <w:numPr>
          <w:ilvl w:val="0"/>
          <w:numId w:val="1"/>
        </w:numPr>
        <w:tabs>
          <w:tab w:val="clear" w:pos="1031"/>
          <w:tab w:val="left" w:pos="993"/>
        </w:tabs>
        <w:spacing w:before="4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1933">
        <w:rPr>
          <w:rFonts w:ascii="Times New Roman" w:hAnsi="Times New Roman" w:cs="Times New Roman"/>
          <w:sz w:val="28"/>
          <w:szCs w:val="28"/>
          <w:lang w:eastAsia="ru-RU"/>
        </w:rPr>
        <w:t>поголів'я корів;</w:t>
      </w:r>
    </w:p>
    <w:p w:rsidR="004A1933" w:rsidRPr="004A1933" w:rsidRDefault="004A1933" w:rsidP="004A1933">
      <w:pPr>
        <w:numPr>
          <w:ilvl w:val="0"/>
          <w:numId w:val="1"/>
        </w:numPr>
        <w:tabs>
          <w:tab w:val="clear" w:pos="1031"/>
          <w:tab w:val="left" w:pos="993"/>
        </w:tabs>
        <w:spacing w:before="4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1933">
        <w:rPr>
          <w:rFonts w:ascii="Times New Roman" w:hAnsi="Times New Roman" w:cs="Times New Roman"/>
          <w:sz w:val="28"/>
          <w:szCs w:val="28"/>
          <w:lang w:eastAsia="ru-RU"/>
        </w:rPr>
        <w:t xml:space="preserve">поголів'я свиней. </w:t>
      </w:r>
    </w:p>
    <w:p w:rsidR="004A1933" w:rsidRPr="008C2C78" w:rsidRDefault="004A1933" w:rsidP="004A1933">
      <w:pPr>
        <w:spacing w:before="40"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lang w:eastAsia="ru-RU"/>
        </w:rPr>
      </w:pPr>
      <w:r w:rsidRPr="008C2C78">
        <w:rPr>
          <w:rFonts w:ascii="Times New Roman" w:hAnsi="Times New Roman" w:cs="Times New Roman"/>
          <w:spacing w:val="-6"/>
          <w:sz w:val="28"/>
          <w:szCs w:val="28"/>
          <w:lang w:eastAsia="ru-RU"/>
        </w:rPr>
        <w:t>Вони обчислені для рівня України і для регіонів. Результати розрахунків х</w:t>
      </w:r>
      <w:r w:rsidRPr="008C2C78">
        <w:rPr>
          <w:rFonts w:ascii="Times New Roman" w:hAnsi="Times New Roman" w:cs="Times New Roman"/>
          <w:spacing w:val="-6"/>
          <w:sz w:val="28"/>
          <w:szCs w:val="28"/>
          <w:lang w:eastAsia="ru-RU"/>
        </w:rPr>
        <w:t>а</w:t>
      </w:r>
      <w:r w:rsidRPr="008C2C78">
        <w:rPr>
          <w:rFonts w:ascii="Times New Roman" w:hAnsi="Times New Roman" w:cs="Times New Roman"/>
          <w:spacing w:val="-6"/>
          <w:sz w:val="28"/>
          <w:szCs w:val="28"/>
          <w:lang w:eastAsia="ru-RU"/>
        </w:rPr>
        <w:t>рактеристик н</w:t>
      </w:r>
      <w:r w:rsidRPr="008C2C78">
        <w:rPr>
          <w:rFonts w:ascii="Times New Roman" w:hAnsi="Times New Roman" w:cs="Times New Roman"/>
          <w:spacing w:val="-6"/>
          <w:sz w:val="28"/>
          <w:szCs w:val="28"/>
          <w:lang w:eastAsia="ru-RU"/>
        </w:rPr>
        <w:t>а</w:t>
      </w:r>
      <w:r w:rsidRPr="008C2C78">
        <w:rPr>
          <w:rFonts w:ascii="Times New Roman" w:hAnsi="Times New Roman" w:cs="Times New Roman"/>
          <w:spacing w:val="-6"/>
          <w:sz w:val="28"/>
          <w:szCs w:val="28"/>
          <w:lang w:eastAsia="ru-RU"/>
        </w:rPr>
        <w:t>дійності оцінок зазначених показників наведені у таблицях 1–5.</w:t>
      </w:r>
    </w:p>
    <w:p w:rsidR="004A1933" w:rsidRPr="004A1933" w:rsidRDefault="004A1933" w:rsidP="004A1933">
      <w:pPr>
        <w:spacing w:before="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1933">
        <w:rPr>
          <w:rFonts w:ascii="Times New Roman" w:hAnsi="Times New Roman" w:cs="Times New Roman"/>
          <w:sz w:val="28"/>
          <w:szCs w:val="28"/>
          <w:lang w:eastAsia="ru-RU"/>
        </w:rPr>
        <w:t>Представлені в таблицях дані свідчать, що отримані оцінки показників є точними для рівня України. Величина коефіцієнта варіації приймає максимал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не значення для показника "Поголів'я великої рогатої худоби " (</w:t>
      </w:r>
      <w:r w:rsidRPr="004A1933">
        <w:rPr>
          <w:rFonts w:ascii="Times New Roman" w:hAnsi="Times New Roman" w:cs="Times New Roman"/>
          <w:sz w:val="28"/>
          <w:szCs w:val="28"/>
          <w:lang w:val="ru-RU" w:eastAsia="ru-RU"/>
        </w:rPr>
        <w:t>2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4A1933">
        <w:rPr>
          <w:rFonts w:ascii="Times New Roman" w:hAnsi="Times New Roman" w:cs="Times New Roman"/>
          <w:sz w:val="28"/>
          <w:szCs w:val="28"/>
          <w:lang w:val="ru-RU" w:eastAsia="ru-RU"/>
        </w:rPr>
        <w:t>99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%), а мін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мальне – для показника "Площа землі домогосподарств" (1,</w:t>
      </w:r>
      <w:r w:rsidRPr="004A1933">
        <w:rPr>
          <w:rFonts w:ascii="Times New Roman" w:hAnsi="Times New Roman" w:cs="Times New Roman"/>
          <w:sz w:val="28"/>
          <w:szCs w:val="28"/>
          <w:lang w:val="ru-RU" w:eastAsia="ru-RU"/>
        </w:rPr>
        <w:t>50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%). Для показн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ка "Середній розмір площі землі домогосподарства" його величина в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значена на рівні 2,00%, для показника</w:t>
      </w:r>
      <w:r w:rsidRPr="004A1933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 xml:space="preserve">"Поголів'я свиней" – </w:t>
      </w:r>
      <w:r w:rsidRPr="004A1933">
        <w:rPr>
          <w:rFonts w:ascii="Times New Roman" w:hAnsi="Times New Roman" w:cs="Times New Roman"/>
          <w:sz w:val="28"/>
          <w:szCs w:val="28"/>
          <w:lang w:val="ru-RU" w:eastAsia="ru-RU"/>
        </w:rPr>
        <w:t>2,57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%, для показника "П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голів'я корів"</w:t>
      </w:r>
      <w:r w:rsidRPr="004A1933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4A1933">
        <w:rPr>
          <w:rFonts w:ascii="Times New Roman" w:hAnsi="Times New Roman" w:cs="Times New Roman"/>
          <w:sz w:val="28"/>
          <w:szCs w:val="28"/>
          <w:lang w:val="ru-RU" w:eastAsia="ru-RU"/>
        </w:rPr>
        <w:t>2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4A1933">
        <w:rPr>
          <w:rFonts w:ascii="Times New Roman" w:hAnsi="Times New Roman" w:cs="Times New Roman"/>
          <w:sz w:val="28"/>
          <w:szCs w:val="28"/>
          <w:lang w:val="ru-RU" w:eastAsia="ru-RU"/>
        </w:rPr>
        <w:t>98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%. Таким чином оцінки всіх основних показників є наді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ними (значення коефіцієнту варіації менше 5%).</w:t>
      </w:r>
    </w:p>
    <w:p w:rsidR="004A1933" w:rsidRPr="004A1933" w:rsidRDefault="004A1933" w:rsidP="004A1933">
      <w:pPr>
        <w:spacing w:before="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lastRenderedPageBreak/>
        <w:t>Величина граничної похибки вибірки для показника площі землі домого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с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подарств складає 1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val="ru-RU" w:eastAsia="ru-RU"/>
        </w:rPr>
        <w:t>59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,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val="ru-RU" w:eastAsia="ru-RU"/>
        </w:rPr>
        <w:t>8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тис. га, тобто з ймовірністю 95% його величина в генер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а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льній сукупності приймає значення з інтервалу 5265,2 – 5584,8 тис. га, для пока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з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ника середнього розміру землі домогосподарства величина граничної похибки в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и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бірки – 0,05 га і інтервал значень 1,17 – 1,27 га, для показника поголів'я великої рогатої худоби – відповідно 113,2 тис. голів і 1819,3 – 2045,7 тис. голів, для пока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з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ника поголів'я корів – 80,0 тис. голів і інтервал 1288,4 – 1448,4 тис. голів, для п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о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голів'я свиней – 133,3 тис. голів і інтервал 2514,9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val="en-US" w:eastAsia="ru-RU"/>
        </w:rPr>
        <w:t> 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–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val="en-US" w:eastAsia="ru-RU"/>
        </w:rPr>
        <w:t> </w:t>
      </w:r>
      <w:r w:rsidRPr="004A193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2781,5 тис. голів.</w:t>
      </w:r>
    </w:p>
    <w:p w:rsidR="004A1933" w:rsidRPr="004A1933" w:rsidRDefault="004A1933" w:rsidP="004A1933">
      <w:pPr>
        <w:spacing w:before="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1933">
        <w:rPr>
          <w:rFonts w:ascii="Times New Roman" w:hAnsi="Times New Roman" w:cs="Times New Roman"/>
          <w:sz w:val="28"/>
          <w:szCs w:val="28"/>
          <w:lang w:eastAsia="ru-RU"/>
        </w:rPr>
        <w:t>Для регіонального рівня в цілому точність оцінок, які розглядаються, є задов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льною. Для показника "Площа землі домогосподарств" майже для всіх регіонів величина коефіцієнту варіації не перевищує 10%, тобто його оцінки є достатньо надійними. Для показника "Середній розмір площі землі домогосп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дарства" точність є задовільною для більшості регіонів, для яких коефіцієнт в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ріації не перевищує 15%, окрім Запорізької (18,97%), Луганської (16,48%) та Одеської (25,72%) областей.</w:t>
      </w:r>
    </w:p>
    <w:p w:rsidR="004A1933" w:rsidRPr="004A1933" w:rsidRDefault="004A1933" w:rsidP="004A1933">
      <w:pPr>
        <w:spacing w:before="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1933">
        <w:rPr>
          <w:rFonts w:ascii="Times New Roman" w:hAnsi="Times New Roman" w:cs="Times New Roman"/>
          <w:sz w:val="28"/>
          <w:szCs w:val="28"/>
          <w:lang w:eastAsia="ru-RU"/>
        </w:rPr>
        <w:t>Точність оцінок показників поголів’я худоби за регіонами є дещо гі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шою, ніж для оцінок показників площі землі (таблиці 3 –</w:t>
      </w:r>
      <w:r w:rsidR="008C2C78" w:rsidRPr="008C2C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5). Це пояснюється, голо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ним чином, тим, що відбір домогосподарств здійснювався пропорційно розм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ру площі їхніх земель.</w:t>
      </w:r>
    </w:p>
    <w:p w:rsidR="004A1933" w:rsidRPr="004A1933" w:rsidRDefault="004A1933" w:rsidP="004A1933">
      <w:pPr>
        <w:spacing w:before="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1933">
        <w:rPr>
          <w:rFonts w:ascii="Times New Roman" w:hAnsi="Times New Roman" w:cs="Times New Roman"/>
          <w:sz w:val="28"/>
          <w:szCs w:val="28"/>
          <w:lang w:eastAsia="ru-RU"/>
        </w:rPr>
        <w:t>Зведена інформація щодо придатності оцінок вищенаведених основних показників ОСГД для вик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ристання за рівнем надійності наведена у таблиці 6. Для зручності використання оцінки показників розподілені на п’ять катег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рій рівня надійності. Якщо коефіцієнт варіації вибіркових оцінок показника при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 xml:space="preserve">має значення до 5% включно, то показник відноситься до групи </w:t>
      </w:r>
      <w:r w:rsidR="00323459" w:rsidRPr="004A1933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323459" w:rsidRPr="004A1933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, то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 xml:space="preserve">то до групи показників з високим рівнем надійності, 6–10%  – до групи </w:t>
      </w:r>
      <w:r w:rsidR="00323459" w:rsidRPr="004A1933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323459" w:rsidRPr="004A1933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 xml:space="preserve"> з доста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 xml:space="preserve">нім рівнем надійності, 11–15% – до групи </w:t>
      </w:r>
      <w:r w:rsidR="00323459" w:rsidRPr="004A1933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323459" w:rsidRPr="004A1933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 xml:space="preserve"> з задовільним рівнем надійн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 xml:space="preserve">сті, 16–25% – до групи </w:t>
      </w:r>
      <w:r w:rsidR="00323459" w:rsidRPr="00323459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323459" w:rsidRPr="004A1933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 xml:space="preserve"> з низьким рівнем надійності (дані придатні лише для якісного аналізу), більше 25% – до групи </w:t>
      </w:r>
      <w:r w:rsidR="00323459" w:rsidRPr="004A1933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323459" w:rsidRPr="004A1933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 xml:space="preserve"> (дані мають незадов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льний рівень надійно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 xml:space="preserve">ті). </w:t>
      </w:r>
    </w:p>
    <w:p w:rsidR="004A1933" w:rsidRPr="004A1933" w:rsidRDefault="004A1933" w:rsidP="004A1933">
      <w:pPr>
        <w:spacing w:before="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1933">
        <w:rPr>
          <w:rFonts w:ascii="Times New Roman" w:hAnsi="Times New Roman" w:cs="Times New Roman"/>
          <w:sz w:val="28"/>
          <w:szCs w:val="28"/>
          <w:lang w:eastAsia="ru-RU"/>
        </w:rPr>
        <w:t>У 2016 році для обстеження сільськогосподарської діяльності було віді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рано 2</w:t>
      </w:r>
      <w:r w:rsidRPr="004A1933">
        <w:rPr>
          <w:rFonts w:ascii="Times New Roman" w:hAnsi="Times New Roman" w:cs="Times New Roman"/>
          <w:sz w:val="28"/>
          <w:szCs w:val="28"/>
          <w:lang w:val="ru-RU" w:eastAsia="ru-RU"/>
        </w:rPr>
        <w:t>8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,2 тисячі домогосподарств. Безпосередньо в обстеженні взяли участь 2</w:t>
      </w:r>
      <w:r w:rsidRPr="004A1933">
        <w:rPr>
          <w:rFonts w:ascii="Times New Roman" w:hAnsi="Times New Roman" w:cs="Times New Roman"/>
          <w:sz w:val="28"/>
          <w:szCs w:val="28"/>
          <w:lang w:val="ru-RU" w:eastAsia="ru-RU"/>
        </w:rPr>
        <w:t>6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4A1933">
        <w:rPr>
          <w:rFonts w:ascii="Times New Roman" w:hAnsi="Times New Roman" w:cs="Times New Roman"/>
          <w:sz w:val="28"/>
          <w:szCs w:val="28"/>
          <w:lang w:val="ru-RU" w:eastAsia="ru-RU"/>
        </w:rPr>
        <w:t>6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 xml:space="preserve"> т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сяч домогосподарств (9</w:t>
      </w:r>
      <w:r w:rsidRPr="004A1933">
        <w:rPr>
          <w:rFonts w:ascii="Times New Roman" w:hAnsi="Times New Roman" w:cs="Times New Roman"/>
          <w:sz w:val="28"/>
          <w:szCs w:val="28"/>
          <w:lang w:val="ru-RU" w:eastAsia="ru-RU"/>
        </w:rPr>
        <w:t>4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4A1933">
        <w:rPr>
          <w:rFonts w:ascii="Times New Roman" w:hAnsi="Times New Roman" w:cs="Times New Roman"/>
          <w:sz w:val="28"/>
          <w:szCs w:val="28"/>
          <w:lang w:val="ru-RU" w:eastAsia="ru-RU"/>
        </w:rPr>
        <w:t>2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%), інші виявилися зачиненими (нежилими, закинутими), або неконтактними на час опитування, або відмовилися відповід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ти. Найвищий рівень участі домогосподарств у обстеженні у 2016 році був у Рі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ненській (100,0%), Тернопільській (99,7%) та Івано-Франківській (99,2%) областях, найнижчий – у Харківській (88,8%), Луганській (86,5%) та Донец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кій (82,2%) обла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тях.</w:t>
      </w:r>
    </w:p>
    <w:p w:rsidR="004A1933" w:rsidRDefault="004A1933" w:rsidP="004A1933">
      <w:pPr>
        <w:spacing w:before="40" w:line="240" w:lineRule="auto"/>
        <w:ind w:firstLine="709"/>
        <w:jc w:val="both"/>
        <w:rPr>
          <w:lang w:eastAsia="ru-RU"/>
        </w:rPr>
      </w:pPr>
      <w:r w:rsidRPr="004A1933">
        <w:rPr>
          <w:rFonts w:ascii="Times New Roman" w:hAnsi="Times New Roman" w:cs="Times New Roman"/>
          <w:sz w:val="28"/>
          <w:szCs w:val="28"/>
          <w:lang w:eastAsia="ru-RU"/>
        </w:rPr>
        <w:t>Слід зазначити, що в цілому після зниження у 2005 році і деяких кол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вань у 2006–2007 роках у ОСГД відмічалося підвищення рівня участі домого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подарств у обстеженні у 2008-2013 роках. Але, починаючи з 2014 року, спост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4A1933">
        <w:rPr>
          <w:rFonts w:ascii="Times New Roman" w:hAnsi="Times New Roman" w:cs="Times New Roman"/>
          <w:sz w:val="28"/>
          <w:szCs w:val="28"/>
          <w:lang w:eastAsia="ru-RU"/>
        </w:rPr>
        <w:t>рігається незначне зниження рівня участі, що видно на рис.1.</w:t>
      </w:r>
    </w:p>
    <w:p w:rsidR="005E1281" w:rsidRPr="005E1281" w:rsidRDefault="00B24B37" w:rsidP="005E12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24B37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0304C8" wp14:editId="4BDB5D0C">
                <wp:simplePos x="0" y="0"/>
                <wp:positionH relativeFrom="column">
                  <wp:posOffset>202565</wp:posOffset>
                </wp:positionH>
                <wp:positionV relativeFrom="paragraph">
                  <wp:posOffset>76200</wp:posOffset>
                </wp:positionV>
                <wp:extent cx="342900" cy="2857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933" w:rsidRPr="00B24B37" w:rsidRDefault="004A1933">
                            <w:pPr>
                              <w:rPr>
                                <w:b/>
                              </w:rPr>
                            </w:pPr>
                            <w:r w:rsidRPr="00B24B37">
                              <w:rPr>
                                <w:b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5.95pt;margin-top:6pt;width:27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" filled="f" stroked="f">
                <v:textbox>
                  <w:txbxContent>
                    <w:p w:rsidR="004A1933" w:rsidRPr="00B24B37" w:rsidRDefault="004A1933">
                      <w:pPr>
                        <w:rPr>
                          <w:b/>
                        </w:rPr>
                      </w:pPr>
                      <w:r w:rsidRPr="00B24B37">
                        <w:rPr>
                          <w:b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9A0506">
        <w:rPr>
          <w:noProof/>
          <w:lang w:eastAsia="uk-UA"/>
        </w:rPr>
        <w:drawing>
          <wp:inline distT="0" distB="0" distL="0" distR="0" wp14:anchorId="6007B544" wp14:editId="0225A897">
            <wp:extent cx="6105525" cy="27432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E1281" w:rsidRPr="00447677" w:rsidRDefault="005E1281" w:rsidP="00B24B3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Рис. 1. Частка домогосподарств, які взяли участь в обстеженні.</w:t>
      </w:r>
    </w:p>
    <w:p w:rsidR="00250416" w:rsidRDefault="00250416" w:rsidP="005E1281">
      <w:pPr>
        <w:jc w:val="center"/>
        <w:rPr>
          <w:rFonts w:ascii="Times New Roman" w:eastAsia="Times New Roman" w:hAnsi="Times New Roman" w:cs="Times New Roman"/>
          <w:b/>
          <w:i/>
          <w:sz w:val="21"/>
          <w:szCs w:val="21"/>
          <w:lang w:eastAsia="ru-RU"/>
        </w:rPr>
      </w:pPr>
    </w:p>
    <w:p w:rsidR="00C2450D" w:rsidRPr="005E05B3" w:rsidRDefault="005E05B3" w:rsidP="005E0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05B3">
        <w:rPr>
          <w:rFonts w:ascii="Times New Roman" w:hAnsi="Times New Roman" w:cs="Times New Roman"/>
          <w:sz w:val="28"/>
          <w:szCs w:val="28"/>
          <w:lang w:eastAsia="ru-RU"/>
        </w:rPr>
        <w:t>Збільшення частки домогосподарств, які взяли участь у обстеженні в 2008 – 2013 роках, відбулося за рахунок зменшення кількості так званих "неконтак</w:t>
      </w:r>
      <w:r w:rsidRPr="005E05B3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5E05B3">
        <w:rPr>
          <w:rFonts w:ascii="Times New Roman" w:hAnsi="Times New Roman" w:cs="Times New Roman"/>
          <w:sz w:val="28"/>
          <w:szCs w:val="28"/>
          <w:lang w:eastAsia="ru-RU"/>
        </w:rPr>
        <w:t>них" домогосподарств, тобто домогосподарств, з якими через об'єктивні прич</w:t>
      </w:r>
      <w:r w:rsidRPr="005E05B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5E05B3">
        <w:rPr>
          <w:rFonts w:ascii="Times New Roman" w:hAnsi="Times New Roman" w:cs="Times New Roman"/>
          <w:sz w:val="28"/>
          <w:szCs w:val="28"/>
          <w:lang w:eastAsia="ru-RU"/>
        </w:rPr>
        <w:t>ни неможливо було встановити контакт, але їхні ресурси (земельні ділянки, г</w:t>
      </w:r>
      <w:r w:rsidRPr="005E05B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5E05B3">
        <w:rPr>
          <w:rFonts w:ascii="Times New Roman" w:hAnsi="Times New Roman" w:cs="Times New Roman"/>
          <w:sz w:val="28"/>
          <w:szCs w:val="28"/>
          <w:lang w:eastAsia="ru-RU"/>
        </w:rPr>
        <w:t>сподарські будівлі) використовувалися для отримання сільськогосподарс</w:t>
      </w:r>
      <w:r w:rsidRPr="005E05B3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5E05B3">
        <w:rPr>
          <w:rFonts w:ascii="Times New Roman" w:hAnsi="Times New Roman" w:cs="Times New Roman"/>
          <w:sz w:val="28"/>
          <w:szCs w:val="28"/>
          <w:lang w:eastAsia="ru-RU"/>
        </w:rPr>
        <w:t>кої продукції. У 2016 році відсоток домогосподарств, які відмовилися від участі в обстеженні, становив 0,5%, неконтактних домого</w:t>
      </w:r>
      <w:r w:rsidRPr="005E05B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5E05B3">
        <w:rPr>
          <w:rFonts w:ascii="Times New Roman" w:hAnsi="Times New Roman" w:cs="Times New Roman"/>
          <w:sz w:val="28"/>
          <w:szCs w:val="28"/>
          <w:lang w:eastAsia="ru-RU"/>
        </w:rPr>
        <w:t>подарств – 1,1% (див. рис.2).</w:t>
      </w:r>
    </w:p>
    <w:p w:rsidR="00AA345E" w:rsidRDefault="00AA345E" w:rsidP="00281796">
      <w:pPr>
        <w:spacing w:after="0"/>
      </w:pPr>
    </w:p>
    <w:p w:rsidR="00C2450D" w:rsidRDefault="0041504D" w:rsidP="005E1281">
      <w:pPr>
        <w:jc w:val="center"/>
      </w:pPr>
      <w:r>
        <w:rPr>
          <w:noProof/>
          <w:lang w:eastAsia="uk-UA"/>
        </w:rPr>
        <w:drawing>
          <wp:inline distT="0" distB="0" distL="0" distR="0" wp14:anchorId="71BB0A59" wp14:editId="2F88F444">
            <wp:extent cx="5991225" cy="265747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2450D" w:rsidRPr="00447677" w:rsidRDefault="00C2450D" w:rsidP="009F2F42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Рис. 2. Частка домогосподарств, які не взяли участь в обстеженні.</w:t>
      </w:r>
    </w:p>
    <w:p w:rsidR="00447677" w:rsidRPr="00447677" w:rsidRDefault="00447677" w:rsidP="00447677">
      <w:pPr>
        <w:spacing w:before="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47677">
        <w:rPr>
          <w:rFonts w:ascii="Times New Roman" w:hAnsi="Times New Roman" w:cs="Times New Roman"/>
          <w:sz w:val="28"/>
          <w:szCs w:val="28"/>
          <w:lang w:eastAsia="ru-RU"/>
        </w:rPr>
        <w:t>Що стосується зважених значень участі домогосподарств у ОСГД, то для України рівень участі склав 96,7%. Найвищий рівень участі був у Волинській і Рівненській (100%), Івано-Франківській (99,7%) і Херсонській (99,3%) обла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тях, найнижчий – у Луганській і Харківс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кій (92,1%) областях.</w:t>
      </w:r>
    </w:p>
    <w:p w:rsidR="00447677" w:rsidRPr="00447677" w:rsidRDefault="00447677" w:rsidP="00447677">
      <w:pPr>
        <w:spacing w:before="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4767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Дані щодо участі домогосподарств у обстеженні у травні 2016 року нав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дені у таблиці 7.</w:t>
      </w:r>
    </w:p>
    <w:p w:rsidR="00447677" w:rsidRPr="00447677" w:rsidRDefault="00447677" w:rsidP="00447677">
      <w:pPr>
        <w:spacing w:before="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47677">
        <w:rPr>
          <w:rFonts w:ascii="Times New Roman" w:hAnsi="Times New Roman" w:cs="Times New Roman"/>
          <w:sz w:val="28"/>
          <w:szCs w:val="28"/>
          <w:lang w:eastAsia="ru-RU"/>
        </w:rPr>
        <w:t>Рівень відповідей респондентів за основними показниками ОСГД не заф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кс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вано.</w:t>
      </w:r>
    </w:p>
    <w:p w:rsidR="00447677" w:rsidRPr="00447677" w:rsidRDefault="00447677" w:rsidP="00447677">
      <w:pPr>
        <w:spacing w:before="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447677">
        <w:rPr>
          <w:rFonts w:ascii="Times New Roman" w:hAnsi="Times New Roman" w:cs="Times New Roman"/>
          <w:sz w:val="28"/>
          <w:szCs w:val="28"/>
          <w:lang w:eastAsia="ru-RU"/>
        </w:rPr>
        <w:t>Імпутація</w:t>
      </w:r>
      <w:proofErr w:type="spellEnd"/>
      <w:r w:rsidRPr="00447677">
        <w:rPr>
          <w:rFonts w:ascii="Times New Roman" w:hAnsi="Times New Roman" w:cs="Times New Roman"/>
          <w:sz w:val="28"/>
          <w:szCs w:val="28"/>
          <w:lang w:eastAsia="ru-RU"/>
        </w:rPr>
        <w:t xml:space="preserve"> даних у ОСГД не була застосована.</w:t>
      </w:r>
    </w:p>
    <w:p w:rsidR="00447677" w:rsidRPr="00447677" w:rsidRDefault="00447677" w:rsidP="0044767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4767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 Своєчасність та пунктуальність </w:t>
      </w:r>
    </w:p>
    <w:p w:rsidR="00447677" w:rsidRPr="00447677" w:rsidRDefault="00447677" w:rsidP="009F2F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47677">
        <w:rPr>
          <w:rFonts w:ascii="Times New Roman" w:hAnsi="Times New Roman" w:cs="Times New Roman"/>
          <w:sz w:val="28"/>
          <w:szCs w:val="28"/>
          <w:lang w:eastAsia="ru-RU"/>
        </w:rPr>
        <w:t>Період між закінченням базового обстеження у травні 2016 року та д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 xml:space="preserve">тою публікації бюлетеня за його результатами складає 23 тижні. </w:t>
      </w:r>
    </w:p>
    <w:p w:rsidR="00447677" w:rsidRPr="00447677" w:rsidRDefault="00447677" w:rsidP="0044767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47677">
        <w:rPr>
          <w:rFonts w:ascii="Times New Roman" w:hAnsi="Times New Roman" w:cs="Times New Roman"/>
          <w:b/>
          <w:sz w:val="28"/>
          <w:szCs w:val="28"/>
          <w:lang w:eastAsia="ru-RU"/>
        </w:rPr>
        <w:t>3. Узгодженість</w:t>
      </w:r>
    </w:p>
    <w:p w:rsidR="00447677" w:rsidRPr="00447677" w:rsidRDefault="00447677" w:rsidP="009F2F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47677">
        <w:rPr>
          <w:rFonts w:ascii="Times New Roman" w:hAnsi="Times New Roman" w:cs="Times New Roman"/>
          <w:sz w:val="28"/>
          <w:szCs w:val="28"/>
          <w:lang w:eastAsia="ru-RU"/>
        </w:rPr>
        <w:t>Характеристиками узгодженості показників є результати співставлення пок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зників площі землі домогосподарств, визначених у ОСГД, та отриманих за підсумками державного статистичного сп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 xml:space="preserve">стереження за формою № 6-сільрада </w:t>
      </w:r>
      <w:r w:rsidR="00323459" w:rsidRPr="004A1933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Окремі показники розвитку сільських, селищних, міських рад у галузі сільс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кого господарства</w:t>
      </w:r>
      <w:r w:rsidR="00323459" w:rsidRPr="004A1933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, яку складають сільські, селищні, міські р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ди, на території яких розташовані сільські населенні пункти,  для тих домогосп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дарств, місце проживання яких зареєстроване на території цих населених пу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ктів (</w:t>
      </w:r>
      <w:r w:rsidR="00323459" w:rsidRPr="004A1933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постійно проживаючі</w:t>
      </w:r>
      <w:r w:rsidR="00323459" w:rsidRPr="004A1933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) і у володінні та користуванні яких є земельні діл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447677">
        <w:rPr>
          <w:rFonts w:ascii="Times New Roman" w:hAnsi="Times New Roman" w:cs="Times New Roman"/>
          <w:sz w:val="28"/>
          <w:szCs w:val="28"/>
          <w:lang w:eastAsia="ru-RU"/>
        </w:rPr>
        <w:t>нки.</w:t>
      </w:r>
    </w:p>
    <w:p w:rsidR="0074793D" w:rsidRDefault="0074793D" w:rsidP="009F2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4793D" w:rsidRPr="00447677" w:rsidRDefault="0074793D" w:rsidP="0074793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Порівняння оцінок окремих показників за результатами ОСГД</w:t>
      </w:r>
    </w:p>
    <w:p w:rsidR="0074793D" w:rsidRPr="0074793D" w:rsidRDefault="0074793D" w:rsidP="009F2F42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lang w:val="en-US" w:eastAsia="ru-RU"/>
        </w:rPr>
      </w:pPr>
      <w:r w:rsidRPr="004476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 даними форми №</w:t>
      </w:r>
      <w:r w:rsidR="00AB6065" w:rsidRPr="004476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4476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957706" w:rsidRPr="004476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4476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сільрада</w:t>
      </w:r>
    </w:p>
    <w:tbl>
      <w:tblPr>
        <w:tblStyle w:val="5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126"/>
        <w:gridCol w:w="2126"/>
        <w:gridCol w:w="2127"/>
      </w:tblGrid>
      <w:tr w:rsidR="009F2F42" w:rsidRPr="009F2F42" w:rsidTr="009F2F42">
        <w:trPr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42" w:rsidRPr="009F2F42" w:rsidRDefault="009F2F42" w:rsidP="0074793D">
            <w:pPr>
              <w:jc w:val="center"/>
              <w:rPr>
                <w:sz w:val="24"/>
                <w:szCs w:val="24"/>
                <w:lang w:eastAsia="ru-RU"/>
              </w:rPr>
            </w:pPr>
            <w:r w:rsidRPr="009F2F42">
              <w:rPr>
                <w:sz w:val="24"/>
                <w:szCs w:val="24"/>
                <w:lang w:eastAsia="ru-RU"/>
              </w:rPr>
              <w:t>Показник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F2F42" w:rsidRPr="009F2F42" w:rsidRDefault="009F2F42" w:rsidP="009F2F42">
            <w:pPr>
              <w:jc w:val="center"/>
              <w:rPr>
                <w:i/>
                <w:sz w:val="24"/>
                <w:szCs w:val="24"/>
                <w:lang w:val="ru-RU" w:eastAsia="ru-RU"/>
              </w:rPr>
            </w:pPr>
            <w:r w:rsidRPr="009F2F42">
              <w:rPr>
                <w:sz w:val="24"/>
                <w:szCs w:val="24"/>
                <w:lang w:eastAsia="ru-RU"/>
              </w:rPr>
              <w:t>Дані ОСГД               (на кінець травня 2016 року)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42" w:rsidRPr="009F2F42" w:rsidRDefault="009F2F42" w:rsidP="0074793D">
            <w:pPr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9F2F42">
              <w:rPr>
                <w:sz w:val="24"/>
                <w:szCs w:val="24"/>
                <w:lang w:eastAsia="ru-RU"/>
              </w:rPr>
              <w:t xml:space="preserve">Дані </w:t>
            </w:r>
          </w:p>
          <w:p w:rsidR="009F2F42" w:rsidRPr="009F2F42" w:rsidRDefault="009F2F42" w:rsidP="009F2F42">
            <w:pPr>
              <w:ind w:left="-85" w:right="-85"/>
              <w:jc w:val="center"/>
              <w:rPr>
                <w:sz w:val="24"/>
                <w:szCs w:val="24"/>
                <w:lang w:val="en-US" w:eastAsia="ru-RU"/>
              </w:rPr>
            </w:pPr>
            <w:r w:rsidRPr="009F2F42">
              <w:rPr>
                <w:sz w:val="24"/>
                <w:szCs w:val="24"/>
                <w:lang w:eastAsia="ru-RU"/>
              </w:rPr>
              <w:t xml:space="preserve">ф.№ 6-сільрада  </w:t>
            </w:r>
            <w:r>
              <w:rPr>
                <w:sz w:val="24"/>
                <w:szCs w:val="24"/>
                <w:lang w:val="en-US" w:eastAsia="ru-RU"/>
              </w:rPr>
              <w:t xml:space="preserve">  </w:t>
            </w:r>
            <w:r w:rsidRPr="009F2F42">
              <w:rPr>
                <w:sz w:val="24"/>
                <w:szCs w:val="24"/>
                <w:lang w:eastAsia="ru-RU"/>
              </w:rPr>
              <w:t>(на 01.01.2016)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F2F42" w:rsidRPr="009F2F42" w:rsidRDefault="009F2F42" w:rsidP="009F2F42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9F2F42">
              <w:rPr>
                <w:sz w:val="24"/>
                <w:szCs w:val="24"/>
                <w:lang w:eastAsia="ru-RU"/>
              </w:rPr>
              <w:t>Співвідношення д</w:t>
            </w:r>
            <w:r w:rsidRPr="009F2F42">
              <w:rPr>
                <w:sz w:val="24"/>
                <w:szCs w:val="24"/>
                <w:lang w:eastAsia="ru-RU"/>
              </w:rPr>
              <w:t>а</w:t>
            </w:r>
            <w:r w:rsidRPr="009F2F42">
              <w:rPr>
                <w:sz w:val="24"/>
                <w:szCs w:val="24"/>
                <w:lang w:eastAsia="ru-RU"/>
              </w:rPr>
              <w:t>них ОСГД до даних ф.№ 6-сільрада, %</w:t>
            </w:r>
          </w:p>
        </w:tc>
      </w:tr>
      <w:tr w:rsidR="009F2F42" w:rsidRPr="009F2F42" w:rsidTr="009F2F42">
        <w:trPr>
          <w:trHeight w:val="608"/>
        </w:trPr>
        <w:tc>
          <w:tcPr>
            <w:tcW w:w="3119" w:type="dxa"/>
            <w:tcBorders>
              <w:top w:val="single" w:sz="4" w:space="0" w:color="auto"/>
              <w:right w:val="single" w:sz="4" w:space="0" w:color="auto"/>
            </w:tcBorders>
          </w:tcPr>
          <w:p w:rsidR="009F2F42" w:rsidRPr="009F2F42" w:rsidRDefault="009F2F42" w:rsidP="009F2F42">
            <w:pPr>
              <w:spacing w:before="60" w:after="60"/>
              <w:jc w:val="both"/>
              <w:rPr>
                <w:sz w:val="24"/>
                <w:szCs w:val="24"/>
                <w:lang w:eastAsia="ru-RU"/>
              </w:rPr>
            </w:pPr>
            <w:r w:rsidRPr="009F2F42">
              <w:rPr>
                <w:sz w:val="24"/>
                <w:szCs w:val="24"/>
                <w:lang w:eastAsia="ru-RU"/>
              </w:rPr>
              <w:t>Площа землі домог</w:t>
            </w:r>
            <w:r w:rsidRPr="009F2F42">
              <w:rPr>
                <w:sz w:val="24"/>
                <w:szCs w:val="24"/>
                <w:lang w:eastAsia="ru-RU"/>
              </w:rPr>
              <w:t>о</w:t>
            </w:r>
            <w:r w:rsidRPr="009F2F42">
              <w:rPr>
                <w:sz w:val="24"/>
                <w:szCs w:val="24"/>
                <w:lang w:eastAsia="ru-RU"/>
              </w:rPr>
              <w:t>с</w:t>
            </w:r>
            <w:r w:rsidRPr="009F2F42">
              <w:rPr>
                <w:sz w:val="24"/>
                <w:szCs w:val="24"/>
                <w:lang w:eastAsia="ru-RU"/>
              </w:rPr>
              <w:softHyphen/>
              <w:t>подарств, тис. 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42" w:rsidRPr="009F2F42" w:rsidRDefault="009F2F42" w:rsidP="002A14CD">
            <w:pPr>
              <w:spacing w:before="120" w:after="60"/>
              <w:ind w:right="302"/>
              <w:jc w:val="right"/>
              <w:rPr>
                <w:sz w:val="24"/>
                <w:szCs w:val="24"/>
                <w:lang w:eastAsia="ru-RU"/>
              </w:rPr>
            </w:pPr>
            <w:r w:rsidRPr="009F2F42">
              <w:rPr>
                <w:sz w:val="24"/>
                <w:szCs w:val="24"/>
                <w:lang w:eastAsia="ru-RU"/>
              </w:rPr>
              <w:t>5 425,0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42" w:rsidRPr="009F2F42" w:rsidRDefault="009F2F42" w:rsidP="002A14CD">
            <w:pPr>
              <w:spacing w:before="120" w:after="60"/>
              <w:ind w:right="302"/>
              <w:jc w:val="right"/>
              <w:rPr>
                <w:sz w:val="24"/>
                <w:szCs w:val="24"/>
                <w:lang w:eastAsia="ru-RU"/>
              </w:rPr>
            </w:pPr>
            <w:r w:rsidRPr="009F2F42">
              <w:rPr>
                <w:sz w:val="24"/>
                <w:szCs w:val="24"/>
                <w:lang w:eastAsia="ru-RU"/>
              </w:rPr>
              <w:t>6 860,2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2F42" w:rsidRPr="009F2F42" w:rsidRDefault="009F2F42" w:rsidP="00AA345E">
            <w:pPr>
              <w:spacing w:before="120" w:after="60"/>
              <w:ind w:right="302"/>
              <w:jc w:val="right"/>
              <w:rPr>
                <w:sz w:val="24"/>
                <w:szCs w:val="24"/>
                <w:lang w:eastAsia="ru-RU"/>
              </w:rPr>
            </w:pPr>
            <w:r w:rsidRPr="009F2F42">
              <w:rPr>
                <w:sz w:val="24"/>
                <w:szCs w:val="24"/>
                <w:lang w:eastAsia="ru-RU"/>
              </w:rPr>
              <w:t>79,1</w:t>
            </w:r>
          </w:p>
        </w:tc>
      </w:tr>
      <w:tr w:rsidR="009F2F42" w:rsidRPr="009F2F42" w:rsidTr="009F2F42"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</w:tcPr>
          <w:p w:rsidR="009F2F42" w:rsidRPr="009F2F42" w:rsidRDefault="009F2F42" w:rsidP="009F2F42">
            <w:pPr>
              <w:spacing w:before="60" w:after="60"/>
              <w:jc w:val="both"/>
              <w:rPr>
                <w:sz w:val="24"/>
                <w:szCs w:val="24"/>
                <w:lang w:eastAsia="ru-RU"/>
              </w:rPr>
            </w:pPr>
            <w:r w:rsidRPr="009F2F42">
              <w:rPr>
                <w:sz w:val="24"/>
                <w:szCs w:val="24"/>
                <w:lang w:eastAsia="ru-RU"/>
              </w:rPr>
              <w:t>Середній розмір землі д</w:t>
            </w:r>
            <w:r w:rsidRPr="009F2F42">
              <w:rPr>
                <w:sz w:val="24"/>
                <w:szCs w:val="24"/>
                <w:lang w:eastAsia="ru-RU"/>
              </w:rPr>
              <w:t>о</w:t>
            </w:r>
            <w:r w:rsidRPr="009F2F42">
              <w:rPr>
                <w:sz w:val="24"/>
                <w:szCs w:val="24"/>
                <w:lang w:eastAsia="ru-RU"/>
              </w:rPr>
              <w:t>могосподарства, га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42" w:rsidRPr="009F2F42" w:rsidRDefault="009F2F42" w:rsidP="002A14CD">
            <w:pPr>
              <w:spacing w:before="120" w:after="60"/>
              <w:ind w:right="302"/>
              <w:jc w:val="right"/>
              <w:rPr>
                <w:sz w:val="24"/>
                <w:szCs w:val="24"/>
                <w:lang w:eastAsia="ru-RU"/>
              </w:rPr>
            </w:pPr>
            <w:r w:rsidRPr="009F2F42">
              <w:rPr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42" w:rsidRPr="009F2F42" w:rsidRDefault="009F2F42" w:rsidP="002A14CD">
            <w:pPr>
              <w:spacing w:before="120" w:after="60"/>
              <w:ind w:right="302"/>
              <w:jc w:val="right"/>
              <w:rPr>
                <w:sz w:val="24"/>
                <w:szCs w:val="24"/>
                <w:lang w:eastAsia="ru-RU"/>
              </w:rPr>
            </w:pPr>
            <w:r w:rsidRPr="009F2F42">
              <w:rPr>
                <w:sz w:val="24"/>
                <w:szCs w:val="24"/>
                <w:lang w:eastAsia="ru-RU"/>
              </w:rPr>
              <w:t>1,48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F2F42" w:rsidRPr="009F2F42" w:rsidRDefault="009F2F42" w:rsidP="002A14CD">
            <w:pPr>
              <w:spacing w:before="120" w:after="60"/>
              <w:ind w:right="302"/>
              <w:jc w:val="right"/>
              <w:rPr>
                <w:sz w:val="24"/>
                <w:szCs w:val="24"/>
                <w:lang w:eastAsia="ru-RU"/>
              </w:rPr>
            </w:pPr>
            <w:r w:rsidRPr="009F2F42">
              <w:rPr>
                <w:sz w:val="24"/>
                <w:szCs w:val="24"/>
                <w:lang w:eastAsia="ru-RU"/>
              </w:rPr>
              <w:t>82,4</w:t>
            </w:r>
          </w:p>
        </w:tc>
      </w:tr>
    </w:tbl>
    <w:p w:rsidR="0074793D" w:rsidRPr="0074793D" w:rsidRDefault="0074793D" w:rsidP="0074793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4793D" w:rsidRPr="009F2F42" w:rsidRDefault="009F2F42" w:rsidP="009F2F4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2F42">
        <w:rPr>
          <w:rFonts w:ascii="Times New Roman" w:hAnsi="Times New Roman" w:cs="Times New Roman"/>
          <w:sz w:val="28"/>
          <w:szCs w:val="28"/>
          <w:lang w:eastAsia="ru-RU"/>
        </w:rPr>
        <w:t>Різниця значень показників щодо площі землі домогосподарств поясн</w:t>
      </w:r>
      <w:r w:rsidRPr="009F2F42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9F2F42">
        <w:rPr>
          <w:rFonts w:ascii="Times New Roman" w:hAnsi="Times New Roman" w:cs="Times New Roman"/>
          <w:sz w:val="28"/>
          <w:szCs w:val="28"/>
          <w:lang w:eastAsia="ru-RU"/>
        </w:rPr>
        <w:t>ється з одного боку тим, що в ОСГД, на відміну від форми № 6-сільрада, від</w:t>
      </w:r>
      <w:r w:rsidRPr="009F2F4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9F2F42">
        <w:rPr>
          <w:rFonts w:ascii="Times New Roman" w:hAnsi="Times New Roman" w:cs="Times New Roman"/>
          <w:sz w:val="28"/>
          <w:szCs w:val="28"/>
          <w:lang w:eastAsia="ru-RU"/>
        </w:rPr>
        <w:t>браж</w:t>
      </w:r>
      <w:r w:rsidRPr="009F2F4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9F2F42">
        <w:rPr>
          <w:rFonts w:ascii="Times New Roman" w:hAnsi="Times New Roman" w:cs="Times New Roman"/>
          <w:sz w:val="28"/>
          <w:szCs w:val="28"/>
          <w:lang w:eastAsia="ru-RU"/>
        </w:rPr>
        <w:t>ється земля, яка фактично використовується домогосподарством, а не вся земля, надана йому згідно з чинним законодавством, з іншого боку – відр</w:t>
      </w:r>
      <w:r w:rsidRPr="009F2F42"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9F2F42">
        <w:rPr>
          <w:rFonts w:ascii="Times New Roman" w:hAnsi="Times New Roman" w:cs="Times New Roman"/>
          <w:sz w:val="28"/>
          <w:szCs w:val="28"/>
          <w:lang w:eastAsia="ru-RU"/>
        </w:rPr>
        <w:t>зком часу між датою, на яку складається форма № 6-сільрада (на 1 січня), і моментом проведення опитування за базовим інтерв'ю ОСГД у травні. За цей період ві</w:t>
      </w:r>
      <w:r w:rsidRPr="009F2F42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9F2F42">
        <w:rPr>
          <w:rFonts w:ascii="Times New Roman" w:hAnsi="Times New Roman" w:cs="Times New Roman"/>
          <w:sz w:val="28"/>
          <w:szCs w:val="28"/>
          <w:lang w:eastAsia="ru-RU"/>
        </w:rPr>
        <w:t>бувається передача домогосподарствами своїх земель в оренду, зокрема сільс</w:t>
      </w:r>
      <w:r w:rsidRPr="009F2F42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9F2F42">
        <w:rPr>
          <w:rFonts w:ascii="Times New Roman" w:hAnsi="Times New Roman" w:cs="Times New Roman"/>
          <w:sz w:val="28"/>
          <w:szCs w:val="28"/>
          <w:lang w:eastAsia="ru-RU"/>
        </w:rPr>
        <w:t>когосподарським підприємствам і фермерським господарствам. Якщо взяти до уваги зменшення площі землі, пов'язане з орендними операці</w:t>
      </w:r>
      <w:r w:rsidRPr="009F2F42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9F2F42">
        <w:rPr>
          <w:rFonts w:ascii="Times New Roman" w:hAnsi="Times New Roman" w:cs="Times New Roman"/>
          <w:sz w:val="28"/>
          <w:szCs w:val="28"/>
          <w:lang w:eastAsia="ru-RU"/>
        </w:rPr>
        <w:t>ми (за даними ОСГД), то співвідношення за показником "Площа землі домогосподарств" ст</w:t>
      </w:r>
      <w:r w:rsidRPr="009F2F4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9F2F42">
        <w:rPr>
          <w:rFonts w:ascii="Times New Roman" w:hAnsi="Times New Roman" w:cs="Times New Roman"/>
          <w:sz w:val="28"/>
          <w:szCs w:val="28"/>
          <w:lang w:eastAsia="ru-RU"/>
        </w:rPr>
        <w:t>новитиме 95,9%, показника "Середній розмір землі домогосподарства" – 100,0%.</w:t>
      </w:r>
    </w:p>
    <w:p w:rsidR="0074793D" w:rsidRDefault="0074793D">
      <w:r w:rsidRPr="0074793D">
        <w:rPr>
          <w:rFonts w:ascii="Times New Roman" w:eastAsia="Times New Roman" w:hAnsi="Times New Roman" w:cs="Times New Roman"/>
          <w:sz w:val="28"/>
          <w:szCs w:val="20"/>
          <w:lang w:eastAsia="ru-RU"/>
        </w:rPr>
        <w:br w:type="page"/>
      </w:r>
    </w:p>
    <w:p w:rsidR="0074793D" w:rsidRPr="00947ED4" w:rsidRDefault="0074793D" w:rsidP="009F2F42">
      <w:pPr>
        <w:spacing w:line="240" w:lineRule="auto"/>
        <w:ind w:left="714" w:right="278" w:hanging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</w:t>
      </w:r>
      <w:r w:rsidRPr="00947ED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Характеристика якості оцінки значення показника                       "Площа землі домогосподарств" </w:t>
      </w:r>
    </w:p>
    <w:tbl>
      <w:tblPr>
        <w:tblW w:w="0" w:type="auto"/>
        <w:tblInd w:w="33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771"/>
        <w:gridCol w:w="2096"/>
        <w:gridCol w:w="2096"/>
        <w:gridCol w:w="2097"/>
      </w:tblGrid>
      <w:tr w:rsidR="0074793D" w:rsidRPr="00947ED4" w:rsidTr="00BF625F"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3D" w:rsidRPr="00947ED4" w:rsidRDefault="0074793D" w:rsidP="0074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3D" w:rsidRPr="00947ED4" w:rsidRDefault="0074793D" w:rsidP="0094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 землі дом</w:t>
            </w: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господарств, </w:t>
            </w:r>
            <w:r w:rsidR="007A4994"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 га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3D" w:rsidRPr="00947ED4" w:rsidRDefault="0074793D" w:rsidP="0094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Гранична похибка вибірки, </w:t>
            </w:r>
            <w:r w:rsidR="007A4994"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 га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3D" w:rsidRPr="00947ED4" w:rsidRDefault="0074793D" w:rsidP="0094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Відносна</w:t>
            </w:r>
            <w:r w:rsidR="00947ED4"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</w:t>
            </w:r>
            <w:r w:rsidR="00947ED4"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947ED4"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похибка вибі</w:t>
            </w:r>
            <w:r w:rsidR="00947ED4"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947ED4"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%</w:t>
            </w:r>
          </w:p>
        </w:tc>
      </w:tr>
      <w:tr w:rsidR="002F5E0F" w:rsidRPr="00947ED4" w:rsidTr="00BF625F">
        <w:trPr>
          <w:trHeight w:hRule="exact" w:val="510"/>
        </w:trPr>
        <w:tc>
          <w:tcPr>
            <w:tcW w:w="277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5E0F" w:rsidRPr="00947ED4" w:rsidRDefault="002F5E0F" w:rsidP="002F5E0F">
            <w:pPr>
              <w:widowControl w:val="0"/>
              <w:spacing w:before="120" w:after="0" w:line="240" w:lineRule="auto"/>
              <w:ind w:left="56" w:hanging="56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Україна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5E0F" w:rsidRPr="00947ED4" w:rsidRDefault="00554400" w:rsidP="00554400">
            <w:pPr>
              <w:spacing w:before="120"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947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5425</w:t>
            </w:r>
            <w:r w:rsidR="000B13B9" w:rsidRPr="00947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947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5E0F" w:rsidRPr="00947ED4" w:rsidRDefault="00554400" w:rsidP="00411452">
            <w:pPr>
              <w:spacing w:before="120"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159</w:t>
            </w:r>
            <w:r w:rsidRPr="00947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F5E0F" w:rsidRPr="00947ED4" w:rsidRDefault="000B13B9" w:rsidP="00554400">
            <w:pPr>
              <w:spacing w:before="120"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</w:t>
            </w:r>
            <w:r w:rsidR="00554400" w:rsidRPr="00947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0B13B9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Вінницька</w:t>
            </w:r>
          </w:p>
        </w:tc>
        <w:tc>
          <w:tcPr>
            <w:tcW w:w="2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256,5</w:t>
            </w:r>
          </w:p>
        </w:tc>
        <w:tc>
          <w:tcPr>
            <w:tcW w:w="2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4,21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0B13B9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Волинська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279,6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3,54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0B13B9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Дніпропетровська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334,3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11,02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0B13B9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Донецька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6,40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0B13B9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Житомирська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166,3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3,58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0B13B9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Закарпатська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203,5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2,84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0B13B9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Запорізька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308,5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7,52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0B13B9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Івано-Франківська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224,8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4,92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0B13B9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6,22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0B13B9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Кіровоградська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49,1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8,83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0B13B9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Луганська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140,7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28,6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10,37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0B13B9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Львівська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2,63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0B13B9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Миколаївська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4,31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0B13B9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Одеська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10,32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0B13B9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227,9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3,56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7" w:hanging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Рівненська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274,3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5,68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7" w:hanging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Сумська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4,35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7" w:hanging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Тернопільська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216,8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4,60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7" w:hanging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Харківська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5,52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7" w:hanging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Херсонська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250,6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5,05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7" w:hanging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Хмельницька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186,5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3,48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7" w:hanging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Черкаська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171,3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6,29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7" w:hanging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Чернівецька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3,71</w:t>
            </w:r>
          </w:p>
        </w:tc>
      </w:tr>
      <w:tr w:rsidR="00554400" w:rsidRPr="00947ED4" w:rsidTr="00554400">
        <w:trPr>
          <w:trHeight w:val="405"/>
        </w:trPr>
        <w:tc>
          <w:tcPr>
            <w:tcW w:w="277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7" w:hanging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Чернігівська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142,5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4,27</w:t>
            </w:r>
          </w:p>
        </w:tc>
      </w:tr>
    </w:tbl>
    <w:p w:rsidR="0074793D" w:rsidRPr="0074793D" w:rsidRDefault="0074793D" w:rsidP="0074793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6DD7" w:rsidRDefault="0074793D" w:rsidP="0074793D">
      <w:pPr>
        <w:tabs>
          <w:tab w:val="left" w:pos="720"/>
        </w:tabs>
        <w:ind w:left="720" w:right="638" w:hanging="360"/>
        <w:rPr>
          <w:rFonts w:ascii="Times New Roman" w:eastAsia="Times New Roman" w:hAnsi="Times New Roman" w:cs="Times New Roman"/>
          <w:szCs w:val="20"/>
          <w:lang w:eastAsia="ru-RU"/>
        </w:rPr>
      </w:pPr>
      <w:r w:rsidRPr="0074793D">
        <w:rPr>
          <w:rFonts w:ascii="Times New Roman" w:eastAsia="Times New Roman" w:hAnsi="Times New Roman" w:cs="Times New Roman"/>
          <w:szCs w:val="20"/>
          <w:lang w:eastAsia="ru-RU"/>
        </w:rPr>
        <w:br w:type="page"/>
      </w:r>
    </w:p>
    <w:p w:rsidR="0074793D" w:rsidRPr="00947ED4" w:rsidRDefault="0074793D" w:rsidP="0074793D">
      <w:pPr>
        <w:tabs>
          <w:tab w:val="left" w:pos="720"/>
        </w:tabs>
        <w:ind w:left="720" w:right="638" w:hanging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 </w:t>
      </w:r>
      <w:r w:rsidRPr="00947ED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Характеристика якості оцінки значення показника "С</w:t>
      </w:r>
      <w:r w:rsidRPr="00947ED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е</w:t>
      </w:r>
      <w:r w:rsidRPr="00947ED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редній розмір площі землі домогосподарства"</w:t>
      </w:r>
      <w:r w:rsidRPr="00947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0" w:type="auto"/>
        <w:tblInd w:w="343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908"/>
        <w:gridCol w:w="2050"/>
        <w:gridCol w:w="2051"/>
        <w:gridCol w:w="2051"/>
      </w:tblGrid>
      <w:tr w:rsidR="0074793D" w:rsidRPr="00947ED4" w:rsidTr="00947ED4"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3D" w:rsidRPr="00947ED4" w:rsidRDefault="0074793D" w:rsidP="0074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3D" w:rsidRPr="00947ED4" w:rsidRDefault="0074793D" w:rsidP="0094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Середній розмір площі землі дом</w:t>
            </w: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господарства, га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3D" w:rsidRPr="00947ED4" w:rsidRDefault="0074793D" w:rsidP="0094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Гранична похибка вибірки, га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3D" w:rsidRPr="00947ED4" w:rsidRDefault="0074793D" w:rsidP="0094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Відносна станда</w:t>
            </w: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тна похибка вибі</w:t>
            </w:r>
            <w:r w:rsidR="00947ED4"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947ED4"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%</w:t>
            </w:r>
          </w:p>
        </w:tc>
      </w:tr>
      <w:tr w:rsidR="002F5E0F" w:rsidRPr="00947ED4" w:rsidTr="00947ED4">
        <w:trPr>
          <w:trHeight w:val="484"/>
        </w:trPr>
        <w:tc>
          <w:tcPr>
            <w:tcW w:w="29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5E0F" w:rsidRPr="00947ED4" w:rsidRDefault="002F5E0F" w:rsidP="004E3F00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Україна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E0F" w:rsidRPr="00947ED4" w:rsidRDefault="002F5E0F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1,2</w:t>
            </w:r>
            <w:r w:rsidR="00554400" w:rsidRPr="00947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E0F" w:rsidRPr="00947ED4" w:rsidRDefault="002F5E0F" w:rsidP="004E3F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  <w:r w:rsidR="004E3F00" w:rsidRPr="00947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F5E0F" w:rsidRPr="00947ED4" w:rsidRDefault="00554400" w:rsidP="004E3F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2,00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Вінницька</w:t>
            </w:r>
          </w:p>
        </w:tc>
        <w:tc>
          <w:tcPr>
            <w:tcW w:w="2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2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7,80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Волинська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1,79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7,37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Дніпропетровська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14,57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Донецька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10,72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Житомирська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2,34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Закарпатська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9,55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Запорізька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18,97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Івано-Франківська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7,88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7,53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Кіровоградська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14,09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Луганська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16,48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Львівська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5,55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Миколаївська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2,47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12,32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Одеська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1,31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25,72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5,42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Рівненська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1,48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9,25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Сумська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6,22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Тернопільська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3,29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Харківська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7,39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Херсонська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6,88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Хмельницька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6,93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Черкаська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11,25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Чернівецька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7,96</w:t>
            </w:r>
          </w:p>
        </w:tc>
      </w:tr>
      <w:tr w:rsidR="00554400" w:rsidRPr="00947ED4" w:rsidTr="00947ED4">
        <w:trPr>
          <w:trHeight w:val="404"/>
        </w:trPr>
        <w:tc>
          <w:tcPr>
            <w:tcW w:w="29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54400" w:rsidRPr="00947ED4" w:rsidRDefault="00554400" w:rsidP="004E3F00">
            <w:pPr>
              <w:widowControl w:val="0"/>
              <w:spacing w:after="0" w:line="240" w:lineRule="auto"/>
              <w:ind w:left="56" w:hanging="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Чернігівська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54400" w:rsidRPr="00947ED4" w:rsidRDefault="00554400" w:rsidP="00554400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7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7,86</w:t>
            </w:r>
          </w:p>
        </w:tc>
      </w:tr>
    </w:tbl>
    <w:p w:rsidR="0074793D" w:rsidRPr="0074793D" w:rsidRDefault="0074793D" w:rsidP="0074793D">
      <w:pPr>
        <w:keepNext/>
        <w:spacing w:after="0" w:line="240" w:lineRule="auto"/>
        <w:ind w:left="567" w:hanging="207"/>
        <w:jc w:val="both"/>
        <w:outlineLvl w:val="1"/>
        <w:rPr>
          <w:rFonts w:ascii="Times New Roman" w:eastAsia="Times New Roman" w:hAnsi="Times New Roman" w:cs="Times New Roman"/>
          <w:b/>
          <w:caps/>
          <w:szCs w:val="20"/>
          <w:lang w:eastAsia="ru-RU"/>
        </w:rPr>
      </w:pPr>
    </w:p>
    <w:p w:rsidR="00966DD7" w:rsidRDefault="0074793D" w:rsidP="0074793D">
      <w:pPr>
        <w:tabs>
          <w:tab w:val="left" w:pos="720"/>
        </w:tabs>
        <w:spacing w:after="0" w:line="240" w:lineRule="auto"/>
        <w:ind w:left="720" w:right="638" w:hanging="360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  <w:r w:rsidRPr="0074793D"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  <w:br w:type="page"/>
      </w:r>
    </w:p>
    <w:p w:rsidR="00B93502" w:rsidRPr="00584F19" w:rsidRDefault="0074793D" w:rsidP="0074793D">
      <w:pPr>
        <w:tabs>
          <w:tab w:val="left" w:pos="720"/>
        </w:tabs>
        <w:spacing w:after="0" w:line="240" w:lineRule="auto"/>
        <w:ind w:left="720" w:right="638" w:hanging="36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4F1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Характеристика якост</w:t>
      </w:r>
      <w:r w:rsidR="00B93502" w:rsidRPr="00584F1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і оцінки значення показника</w:t>
      </w:r>
      <w:r w:rsidRPr="00584F1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</w:p>
    <w:p w:rsidR="0074793D" w:rsidRPr="00584F19" w:rsidRDefault="0074793D" w:rsidP="009F2F42">
      <w:pPr>
        <w:tabs>
          <w:tab w:val="left" w:pos="720"/>
        </w:tabs>
        <w:spacing w:line="240" w:lineRule="auto"/>
        <w:ind w:left="720" w:right="641" w:hanging="11"/>
        <w:rPr>
          <w:rFonts w:ascii="Times New Roman" w:eastAsia="Times New Roman" w:hAnsi="Times New Roman" w:cs="Times New Roman"/>
          <w:b/>
          <w:caps/>
          <w:sz w:val="24"/>
          <w:szCs w:val="24"/>
          <w:lang w:val="en-US" w:eastAsia="ru-RU"/>
        </w:rPr>
      </w:pPr>
      <w:r w:rsidRPr="00584F1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"Поголів'я великої рогатої худоби" </w:t>
      </w:r>
    </w:p>
    <w:tbl>
      <w:tblPr>
        <w:tblW w:w="4808" w:type="pct"/>
        <w:jc w:val="center"/>
        <w:tblLook w:val="0000" w:firstRow="0" w:lastRow="0" w:firstColumn="0" w:lastColumn="0" w:noHBand="0" w:noVBand="0"/>
      </w:tblPr>
      <w:tblGrid>
        <w:gridCol w:w="3027"/>
        <w:gridCol w:w="2124"/>
        <w:gridCol w:w="2124"/>
        <w:gridCol w:w="2124"/>
      </w:tblGrid>
      <w:tr w:rsidR="0074793D" w:rsidRPr="00584F19" w:rsidTr="00584F19">
        <w:trPr>
          <w:trHeight w:val="940"/>
          <w:tblHeader/>
          <w:jc w:val="center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3D" w:rsidRPr="00584F19" w:rsidRDefault="0074793D" w:rsidP="0074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F625F" w:rsidRPr="00584F19" w:rsidRDefault="0074793D" w:rsidP="0074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Поголів'я великої </w:t>
            </w:r>
          </w:p>
          <w:p w:rsidR="0074793D" w:rsidRPr="00584F19" w:rsidRDefault="0074793D" w:rsidP="00584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рогатої худоби - всього, </w:t>
            </w:r>
            <w:r w:rsidR="007A4994"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 голів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793D" w:rsidRPr="00584F19" w:rsidRDefault="0074793D" w:rsidP="00584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Гранична похибка вибірки, </w:t>
            </w:r>
            <w:r w:rsidR="007A4994"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 голів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793D" w:rsidRPr="00584F19" w:rsidRDefault="0074793D" w:rsidP="00584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Відносна стандар</w:t>
            </w: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похибка вибірки, %</w:t>
            </w:r>
          </w:p>
        </w:tc>
      </w:tr>
      <w:tr w:rsidR="0074793D" w:rsidRPr="00584F19" w:rsidTr="00554400">
        <w:trPr>
          <w:trHeight w:hRule="exact" w:val="510"/>
          <w:jc w:val="center"/>
        </w:trPr>
        <w:tc>
          <w:tcPr>
            <w:tcW w:w="16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793D" w:rsidRPr="00584F19" w:rsidRDefault="0074793D" w:rsidP="0074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Україна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793D" w:rsidRPr="00584F19" w:rsidRDefault="00700FEB" w:rsidP="00475B3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1932,5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793D" w:rsidRPr="00584F19" w:rsidRDefault="00700FEB" w:rsidP="00475B3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4793D" w:rsidRPr="00584F19" w:rsidRDefault="00700FEB" w:rsidP="00475B3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2,99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Вінницька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7,72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67,6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9,67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Дніпропетровська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21,67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19,07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Житомирська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9,95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Закарпатська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90,3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8,44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Запорізька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17,10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9,55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31,7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7,63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Кіровоградська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20,90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Луганська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31,42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151,8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9,96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Миколаївська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13,82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Одеська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74,1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10,50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8,04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Рівненська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117,3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10,50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Сумська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6,46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Тернопільська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7,26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Харківська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14,73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Херсонська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69,2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11,22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Хмельницька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28,6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12,39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Черкаська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16,73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Чернівецька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9,82</w:t>
            </w:r>
          </w:p>
        </w:tc>
      </w:tr>
      <w:tr w:rsidR="00700FEB" w:rsidRPr="00584F19" w:rsidTr="00700FEB">
        <w:trPr>
          <w:trHeight w:val="371"/>
          <w:jc w:val="center"/>
        </w:trPr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4E3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Чернігівська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0FEB" w:rsidRPr="00584F19" w:rsidRDefault="00700FEB" w:rsidP="00700FEB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7,91</w:t>
            </w:r>
          </w:p>
        </w:tc>
      </w:tr>
    </w:tbl>
    <w:p w:rsidR="0074793D" w:rsidRPr="0074793D" w:rsidRDefault="0074793D" w:rsidP="007479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66DD7" w:rsidRDefault="0074793D" w:rsidP="0074793D">
      <w:pPr>
        <w:tabs>
          <w:tab w:val="left" w:pos="720"/>
        </w:tabs>
        <w:spacing w:after="0" w:line="240" w:lineRule="auto"/>
        <w:ind w:left="720" w:right="638" w:hanging="360"/>
        <w:rPr>
          <w:rFonts w:ascii="Times New Roman" w:eastAsia="Times New Roman" w:hAnsi="Times New Roman" w:cs="Times New Roman"/>
          <w:b/>
          <w:lang w:eastAsia="ru-RU"/>
        </w:rPr>
      </w:pPr>
      <w:r w:rsidRPr="0074793D"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:rsidR="00475B3D" w:rsidRPr="00584F19" w:rsidRDefault="0074793D" w:rsidP="0074793D">
      <w:pPr>
        <w:tabs>
          <w:tab w:val="left" w:pos="720"/>
        </w:tabs>
        <w:spacing w:after="0" w:line="240" w:lineRule="auto"/>
        <w:ind w:left="720" w:right="638" w:hanging="36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4F1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4. Характеристика якості оцінки значення показника </w:t>
      </w:r>
    </w:p>
    <w:p w:rsidR="0074793D" w:rsidRPr="00584F19" w:rsidRDefault="0074793D" w:rsidP="009F2F42">
      <w:pPr>
        <w:tabs>
          <w:tab w:val="left" w:pos="720"/>
        </w:tabs>
        <w:spacing w:line="240" w:lineRule="auto"/>
        <w:ind w:left="720" w:right="641" w:hanging="11"/>
        <w:rPr>
          <w:rFonts w:ascii="Times New Roman" w:eastAsia="Times New Roman" w:hAnsi="Times New Roman" w:cs="Times New Roman"/>
          <w:b/>
          <w:caps/>
          <w:sz w:val="24"/>
          <w:szCs w:val="24"/>
          <w:lang w:val="ru-RU" w:eastAsia="ru-RU"/>
        </w:rPr>
      </w:pPr>
      <w:r w:rsidRPr="00584F1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"Поголів'я корів"</w:t>
      </w:r>
    </w:p>
    <w:tbl>
      <w:tblPr>
        <w:tblW w:w="4711" w:type="pct"/>
        <w:jc w:val="center"/>
        <w:tblLook w:val="0000" w:firstRow="0" w:lastRow="0" w:firstColumn="0" w:lastColumn="0" w:noHBand="0" w:noVBand="0"/>
      </w:tblPr>
      <w:tblGrid>
        <w:gridCol w:w="2882"/>
        <w:gridCol w:w="2109"/>
        <w:gridCol w:w="2109"/>
        <w:gridCol w:w="2109"/>
      </w:tblGrid>
      <w:tr w:rsidR="0074793D" w:rsidRPr="00584F19" w:rsidTr="00584F19">
        <w:trPr>
          <w:trHeight w:val="940"/>
          <w:tblHeader/>
          <w:jc w:val="center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3D" w:rsidRPr="00584F19" w:rsidRDefault="0074793D" w:rsidP="0074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793D" w:rsidRPr="00584F19" w:rsidRDefault="0074793D" w:rsidP="00584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Поголів'я корів, </w:t>
            </w:r>
            <w:r w:rsidR="007A4994"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 голів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793D" w:rsidRPr="00584F19" w:rsidRDefault="0074793D" w:rsidP="00584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Гранична похибка вибірки, </w:t>
            </w:r>
            <w:r w:rsidR="007A4994"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 голів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793D" w:rsidRPr="00584F19" w:rsidRDefault="0074793D" w:rsidP="00584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Відносна стандар</w:t>
            </w: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похибка вибірки, %</w:t>
            </w:r>
          </w:p>
        </w:tc>
      </w:tr>
      <w:tr w:rsidR="0074793D" w:rsidRPr="00584F19" w:rsidTr="00EE123A">
        <w:trPr>
          <w:trHeight w:hRule="exact" w:val="510"/>
          <w:jc w:val="center"/>
        </w:trPr>
        <w:tc>
          <w:tcPr>
            <w:tcW w:w="15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793D" w:rsidRPr="00584F19" w:rsidRDefault="0074793D" w:rsidP="0074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Україна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793D" w:rsidRPr="00584F19" w:rsidRDefault="00EE123A" w:rsidP="00455ED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1368,4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793D" w:rsidRPr="00584F19" w:rsidRDefault="00EE123A" w:rsidP="0074793D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4793D" w:rsidRPr="00584F19" w:rsidRDefault="00455ED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  <w:r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EE123A"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Вінницька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114,8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9,21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7,54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Дніпропетровська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37,7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21,75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17,28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Житомирська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7,60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Закарпатська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9,26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Запорізька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19,27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10,02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9,82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Кіровоградська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20,59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Луганська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32,76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109,5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7,31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Миколаївська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42,2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12,48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Одеська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14,07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6,97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Рівненська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10,73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Сумська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5,49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Тернопільська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8,66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Харківська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15,19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Херсонська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12,69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Хмельницька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88,6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11,81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Черкаська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16,75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Чернівецька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46,1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12,07</w:t>
            </w:r>
          </w:p>
        </w:tc>
      </w:tr>
      <w:tr w:rsidR="00EE123A" w:rsidRPr="00584F19" w:rsidTr="00EE123A">
        <w:trPr>
          <w:trHeight w:val="371"/>
          <w:jc w:val="center"/>
        </w:trPr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C2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Чернігівська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123A" w:rsidRPr="00584F19" w:rsidRDefault="00EE123A" w:rsidP="00EE123A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7,75</w:t>
            </w:r>
          </w:p>
        </w:tc>
      </w:tr>
    </w:tbl>
    <w:p w:rsidR="0074793D" w:rsidRPr="0074793D" w:rsidRDefault="0074793D" w:rsidP="007479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66DD7" w:rsidRDefault="0074793D" w:rsidP="0074793D">
      <w:pPr>
        <w:tabs>
          <w:tab w:val="left" w:pos="720"/>
        </w:tabs>
        <w:spacing w:after="0" w:line="240" w:lineRule="auto"/>
        <w:ind w:left="720" w:right="638" w:hanging="360"/>
        <w:rPr>
          <w:rFonts w:ascii="Times New Roman" w:eastAsia="Times New Roman" w:hAnsi="Times New Roman" w:cs="Times New Roman"/>
          <w:b/>
          <w:lang w:eastAsia="ru-RU"/>
        </w:rPr>
      </w:pPr>
      <w:r w:rsidRPr="0074793D"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:rsidR="0074793D" w:rsidRPr="00584F19" w:rsidRDefault="0074793D" w:rsidP="00947ED4">
      <w:pPr>
        <w:tabs>
          <w:tab w:val="left" w:pos="720"/>
        </w:tabs>
        <w:spacing w:line="240" w:lineRule="auto"/>
        <w:ind w:left="714" w:right="641" w:hanging="357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4F1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5. Характеристика якості оцінки значення показника                       "Поголів'я свиней"</w:t>
      </w:r>
    </w:p>
    <w:tbl>
      <w:tblPr>
        <w:tblW w:w="4793" w:type="pct"/>
        <w:jc w:val="center"/>
        <w:tblLook w:val="0000" w:firstRow="0" w:lastRow="0" w:firstColumn="0" w:lastColumn="0" w:noHBand="0" w:noVBand="0"/>
      </w:tblPr>
      <w:tblGrid>
        <w:gridCol w:w="3052"/>
        <w:gridCol w:w="2095"/>
        <w:gridCol w:w="2072"/>
        <w:gridCol w:w="2227"/>
      </w:tblGrid>
      <w:tr w:rsidR="0074793D" w:rsidRPr="00584F19" w:rsidTr="00584F19">
        <w:trPr>
          <w:trHeight w:val="940"/>
          <w:tblHeader/>
          <w:jc w:val="center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3D" w:rsidRPr="00584F19" w:rsidRDefault="0074793D" w:rsidP="0074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3D" w:rsidRPr="00584F19" w:rsidRDefault="0074793D" w:rsidP="00584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Поголів'я свиней, </w:t>
            </w:r>
            <w:r w:rsidR="007A4994"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 голів</w:t>
            </w:r>
          </w:p>
        </w:tc>
        <w:tc>
          <w:tcPr>
            <w:tcW w:w="10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3D" w:rsidRPr="00584F19" w:rsidRDefault="0074793D" w:rsidP="00584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Гранична похи</w:t>
            </w: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 вибірки, </w:t>
            </w:r>
            <w:r w:rsidR="007A4994"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 голів</w:t>
            </w: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3D" w:rsidRPr="00584F19" w:rsidRDefault="0074793D" w:rsidP="00584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Відносна станда</w:t>
            </w: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тна похибка вибі</w:t>
            </w: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%</w:t>
            </w:r>
          </w:p>
        </w:tc>
      </w:tr>
      <w:tr w:rsidR="0074793D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793D" w:rsidRPr="00584F19" w:rsidRDefault="0074793D" w:rsidP="0074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Україна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793D" w:rsidRPr="00584F19" w:rsidRDefault="0023717F" w:rsidP="00A2448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2648,2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793D" w:rsidRPr="00584F19" w:rsidRDefault="0023717F" w:rsidP="00A24483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133,3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4793D" w:rsidRPr="00584F19" w:rsidRDefault="00796BF7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</w:t>
            </w:r>
            <w:r w:rsidR="0023717F"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Вінницька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175,2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10,84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192,6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8,31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Дніпропетровська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14,42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16,22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Житомирська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9,31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Закарпатська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232,4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4,82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Запорізька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11,61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117,2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10,93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114,9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10,69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Кіровоградська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11,37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Луганська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24,47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158,9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7,24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Миколаївська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17,44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Одеська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89,1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18,83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12,15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Рівненська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258,7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6,39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Сумська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10,38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Тернопільська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186,1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10,98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Харківська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12,22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Херсонська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17,84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Хмельницька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186,6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20,05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Черкаська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166,1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10,41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Чернівецька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12,07</w:t>
            </w:r>
          </w:p>
        </w:tc>
      </w:tr>
      <w:tr w:rsidR="0023717F" w:rsidRPr="00584F19" w:rsidTr="00584F19">
        <w:trPr>
          <w:trHeight w:val="390"/>
          <w:jc w:val="center"/>
        </w:trPr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79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Чернігівська</w:t>
            </w:r>
          </w:p>
        </w:tc>
        <w:tc>
          <w:tcPr>
            <w:tcW w:w="1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74,7</w:t>
            </w:r>
          </w:p>
        </w:tc>
        <w:tc>
          <w:tcPr>
            <w:tcW w:w="1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717F" w:rsidRPr="00584F19" w:rsidRDefault="0023717F" w:rsidP="0023717F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13,02</w:t>
            </w:r>
          </w:p>
        </w:tc>
      </w:tr>
    </w:tbl>
    <w:p w:rsidR="0074793D" w:rsidRPr="0074793D" w:rsidRDefault="0074793D" w:rsidP="007479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66DD7" w:rsidRDefault="0074793D" w:rsidP="0074793D">
      <w:pPr>
        <w:tabs>
          <w:tab w:val="left" w:pos="720"/>
        </w:tabs>
        <w:spacing w:after="0" w:line="240" w:lineRule="auto"/>
        <w:ind w:left="720" w:right="638" w:hanging="360"/>
        <w:rPr>
          <w:rFonts w:ascii="Times New Roman" w:eastAsia="Times New Roman" w:hAnsi="Times New Roman" w:cs="Times New Roman"/>
          <w:b/>
          <w:lang w:eastAsia="ru-RU"/>
        </w:rPr>
      </w:pPr>
      <w:r w:rsidRPr="0074793D"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:rsidR="0074793D" w:rsidRPr="00584F19" w:rsidRDefault="0074793D" w:rsidP="00947ED4">
      <w:pPr>
        <w:tabs>
          <w:tab w:val="left" w:pos="720"/>
        </w:tabs>
        <w:spacing w:line="240" w:lineRule="auto"/>
        <w:ind w:left="714" w:right="641" w:hanging="357"/>
        <w:rPr>
          <w:rFonts w:ascii="Times New Roman" w:eastAsia="Times New Roman" w:hAnsi="Times New Roman" w:cs="Times New Roman"/>
          <w:b/>
          <w:caps/>
          <w:sz w:val="24"/>
          <w:szCs w:val="24"/>
          <w:lang w:val="ru-RU" w:eastAsia="ru-RU"/>
        </w:rPr>
      </w:pPr>
      <w:r w:rsidRPr="00584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6. </w:t>
      </w:r>
      <w:r w:rsidRPr="00584F1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Категорії надійності оцінок основних показників </w:t>
      </w:r>
    </w:p>
    <w:tbl>
      <w:tblPr>
        <w:tblW w:w="4696" w:type="pct"/>
        <w:jc w:val="center"/>
        <w:tblLayout w:type="fixed"/>
        <w:tblLook w:val="0000" w:firstRow="0" w:lastRow="0" w:firstColumn="0" w:lastColumn="0" w:noHBand="0" w:noVBand="0"/>
      </w:tblPr>
      <w:tblGrid>
        <w:gridCol w:w="2903"/>
        <w:gridCol w:w="1272"/>
        <w:gridCol w:w="1272"/>
        <w:gridCol w:w="1270"/>
        <w:gridCol w:w="1270"/>
        <w:gridCol w:w="1268"/>
      </w:tblGrid>
      <w:tr w:rsidR="0074793D" w:rsidRPr="00584F19" w:rsidTr="00A845F3">
        <w:trPr>
          <w:trHeight w:val="1575"/>
          <w:tblHeader/>
          <w:jc w:val="center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3D" w:rsidRPr="00584F19" w:rsidRDefault="0074793D" w:rsidP="0074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31D" w:rsidRPr="00584F19" w:rsidRDefault="00D92CCD" w:rsidP="0074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 </w:t>
            </w:r>
          </w:p>
          <w:p w:rsidR="00D1631D" w:rsidRPr="00584F19" w:rsidRDefault="00D92CCD" w:rsidP="0074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землі </w:t>
            </w:r>
          </w:p>
          <w:p w:rsidR="0074793D" w:rsidRPr="00584F19" w:rsidRDefault="00D92CCD" w:rsidP="00584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домого</w:t>
            </w: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4793D"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подарств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31D" w:rsidRPr="00584F19" w:rsidRDefault="0074793D" w:rsidP="0074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</w:t>
            </w:r>
            <w:r w:rsidR="00D92CCD"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дній розмір площі </w:t>
            </w:r>
          </w:p>
          <w:p w:rsidR="00D1631D" w:rsidRPr="00584F19" w:rsidRDefault="00D92CCD" w:rsidP="0074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землі </w:t>
            </w:r>
          </w:p>
          <w:p w:rsidR="0074793D" w:rsidRPr="00584F19" w:rsidRDefault="00D92CCD" w:rsidP="00584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домого</w:t>
            </w: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4793D"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подарства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31D" w:rsidRPr="00584F19" w:rsidRDefault="0074793D" w:rsidP="0074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Поголів'я великої рогатої </w:t>
            </w:r>
          </w:p>
          <w:p w:rsidR="0074793D" w:rsidRPr="00584F19" w:rsidRDefault="00584F19" w:rsidP="00584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худоби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F19" w:rsidRPr="00584F19" w:rsidRDefault="0074793D" w:rsidP="00584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Поголів'я корів</w:t>
            </w:r>
          </w:p>
          <w:p w:rsidR="0074793D" w:rsidRPr="00584F19" w:rsidRDefault="0074793D" w:rsidP="0074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F19" w:rsidRPr="00584F19" w:rsidRDefault="0074793D" w:rsidP="00584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Поголів'я свиней</w:t>
            </w:r>
          </w:p>
          <w:p w:rsidR="0074793D" w:rsidRPr="00584F19" w:rsidRDefault="0074793D" w:rsidP="0074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4793D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793D" w:rsidRPr="00584F19" w:rsidRDefault="0074793D" w:rsidP="0074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Україна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93D" w:rsidRPr="00584F19" w:rsidRDefault="0074793D" w:rsidP="0074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93D" w:rsidRPr="00584F19" w:rsidRDefault="0074793D" w:rsidP="0074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93D" w:rsidRPr="00584F19" w:rsidRDefault="0074793D" w:rsidP="0074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93D" w:rsidRPr="00584F19" w:rsidRDefault="0074793D" w:rsidP="0074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793D" w:rsidRPr="00584F19" w:rsidRDefault="0074793D" w:rsidP="0074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Вінницька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Дніпропетровська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Житомирська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Закарпатська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Запорізька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Кіровоградська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Луганська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Миколаївська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Одеська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Рівненська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Сумська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Тернопільська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Харківська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Херсонська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Хмельницька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Черкаська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Чернівецька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6DD9" w:rsidRPr="00584F19" w:rsidTr="00584F19">
        <w:trPr>
          <w:trHeight w:val="373"/>
          <w:jc w:val="center"/>
        </w:trPr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DD9" w:rsidRPr="00584F19" w:rsidRDefault="00606DD9" w:rsidP="008F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Чернігівська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6DD9" w:rsidRPr="00584F19" w:rsidRDefault="00606DD9" w:rsidP="0060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</w:tbl>
    <w:p w:rsidR="0074793D" w:rsidRPr="0074793D" w:rsidRDefault="0074793D" w:rsidP="0074793D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66DD7" w:rsidRDefault="0074793D" w:rsidP="0074793D">
      <w:pPr>
        <w:tabs>
          <w:tab w:val="left" w:pos="720"/>
        </w:tabs>
        <w:spacing w:after="0" w:line="240" w:lineRule="auto"/>
        <w:ind w:left="720" w:right="638" w:hanging="360"/>
        <w:rPr>
          <w:rFonts w:ascii="Times New Roman" w:eastAsia="Times New Roman" w:hAnsi="Times New Roman" w:cs="Times New Roman"/>
          <w:b/>
          <w:lang w:eastAsia="ru-RU"/>
        </w:rPr>
      </w:pPr>
      <w:r w:rsidRPr="0074793D"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:rsidR="0074793D" w:rsidRPr="00584F19" w:rsidRDefault="0074793D" w:rsidP="00947ED4">
      <w:pPr>
        <w:tabs>
          <w:tab w:val="left" w:pos="720"/>
        </w:tabs>
        <w:spacing w:line="240" w:lineRule="auto"/>
        <w:ind w:left="714" w:right="641" w:hanging="357"/>
        <w:rPr>
          <w:rFonts w:ascii="Times New Roman" w:eastAsia="Times New Roman" w:hAnsi="Times New Roman" w:cs="Times New Roman"/>
          <w:b/>
          <w:caps/>
          <w:sz w:val="24"/>
          <w:szCs w:val="24"/>
          <w:lang w:val="ru-RU" w:eastAsia="ru-RU"/>
        </w:rPr>
      </w:pPr>
      <w:r w:rsidRPr="00584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7. </w:t>
      </w:r>
      <w:r w:rsidRPr="00584F1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Кількість відібраних домогосподарств та рівні участі в                обстеженні</w:t>
      </w:r>
    </w:p>
    <w:tbl>
      <w:tblPr>
        <w:tblW w:w="4890" w:type="pct"/>
        <w:jc w:val="center"/>
        <w:tblLook w:val="0000" w:firstRow="0" w:lastRow="0" w:firstColumn="0" w:lastColumn="0" w:noHBand="0" w:noVBand="0"/>
      </w:tblPr>
      <w:tblGrid>
        <w:gridCol w:w="3008"/>
        <w:gridCol w:w="2187"/>
        <w:gridCol w:w="2185"/>
        <w:gridCol w:w="2179"/>
      </w:tblGrid>
      <w:tr w:rsidR="0074793D" w:rsidRPr="00584F19" w:rsidTr="00584F19">
        <w:trPr>
          <w:trHeight w:val="657"/>
          <w:jc w:val="center"/>
        </w:trPr>
        <w:tc>
          <w:tcPr>
            <w:tcW w:w="1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93D" w:rsidRPr="00584F19" w:rsidRDefault="0074793D" w:rsidP="0074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3D" w:rsidRPr="00584F19" w:rsidRDefault="0074793D" w:rsidP="00584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відібр</w:t>
            </w: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них домогосп</w:t>
            </w: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</w:t>
            </w:r>
          </w:p>
        </w:tc>
        <w:tc>
          <w:tcPr>
            <w:tcW w:w="2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1631D" w:rsidRPr="00584F19" w:rsidRDefault="0074793D" w:rsidP="0074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Рівень участі домогосподарств </w:t>
            </w:r>
          </w:p>
          <w:p w:rsidR="0074793D" w:rsidRPr="00584F19" w:rsidRDefault="0074793D" w:rsidP="00584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обстеженні</w:t>
            </w:r>
            <w:r w:rsidR="00D1631D" w:rsidRPr="00584F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%</w:t>
            </w:r>
          </w:p>
        </w:tc>
      </w:tr>
      <w:tr w:rsidR="0074793D" w:rsidRPr="00584F19" w:rsidTr="00584F19">
        <w:trPr>
          <w:trHeight w:val="427"/>
          <w:jc w:val="center"/>
        </w:trPr>
        <w:tc>
          <w:tcPr>
            <w:tcW w:w="1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93D" w:rsidRPr="00584F19" w:rsidRDefault="0074793D" w:rsidP="0074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3D" w:rsidRPr="00584F19" w:rsidRDefault="0074793D" w:rsidP="0074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3D" w:rsidRPr="00584F19" w:rsidRDefault="0074793D" w:rsidP="00584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незважений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3D" w:rsidRPr="00584F19" w:rsidRDefault="0074793D" w:rsidP="00584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зважений</w:t>
            </w:r>
          </w:p>
        </w:tc>
      </w:tr>
      <w:tr w:rsidR="0074793D" w:rsidRPr="00584F19" w:rsidTr="00EF750B">
        <w:trPr>
          <w:trHeight w:hRule="exact" w:val="510"/>
          <w:jc w:val="center"/>
        </w:trPr>
        <w:tc>
          <w:tcPr>
            <w:tcW w:w="15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793D" w:rsidRPr="00584F19" w:rsidRDefault="0074793D" w:rsidP="0074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Україна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793D" w:rsidRPr="00584F19" w:rsidRDefault="0074793D" w:rsidP="00AA1E25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A1E25"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A1E25"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793D" w:rsidRPr="00584F19" w:rsidRDefault="004B6960" w:rsidP="00AA1E25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74793D" w:rsidRPr="00584F19" w:rsidRDefault="008F59E1" w:rsidP="00714047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714047"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584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,7</w:t>
            </w:r>
          </w:p>
        </w:tc>
      </w:tr>
      <w:tr w:rsidR="004B6960" w:rsidRPr="00584F19" w:rsidTr="004B6960">
        <w:trPr>
          <w:trHeight w:val="395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Вінницька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1 488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4B6960" w:rsidRPr="00584F19" w:rsidTr="004B6960">
        <w:trPr>
          <w:trHeight w:val="395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4B6960" w:rsidRPr="00584F19" w:rsidTr="004B6960">
        <w:trPr>
          <w:trHeight w:val="395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Дніпропетровська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1 242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93,6</w:t>
            </w:r>
          </w:p>
        </w:tc>
      </w:tr>
      <w:tr w:rsidR="004B6960" w:rsidRPr="00584F19" w:rsidTr="004B6960">
        <w:trPr>
          <w:trHeight w:val="395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1 188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4B6960" w:rsidRPr="00584F19" w:rsidTr="004B6960">
        <w:trPr>
          <w:trHeight w:val="395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Житомирська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92,6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94,9</w:t>
            </w:r>
          </w:p>
        </w:tc>
      </w:tr>
      <w:tr w:rsidR="004B6960" w:rsidRPr="00584F19" w:rsidTr="004B6960">
        <w:trPr>
          <w:trHeight w:val="394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Закарпатська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96,8</w:t>
            </w:r>
          </w:p>
        </w:tc>
      </w:tr>
      <w:tr w:rsidR="004B6960" w:rsidRPr="00584F19" w:rsidTr="004B6960">
        <w:trPr>
          <w:trHeight w:val="395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Запорізька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1 350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4B6960" w:rsidRPr="00584F19" w:rsidTr="004B6960">
        <w:trPr>
          <w:trHeight w:val="395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4B6960" w:rsidRPr="00584F19" w:rsidTr="004B6960">
        <w:trPr>
          <w:trHeight w:val="395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1 296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94,6</w:t>
            </w:r>
          </w:p>
        </w:tc>
      </w:tr>
      <w:tr w:rsidR="004B6960" w:rsidRPr="00584F19" w:rsidTr="004B6960">
        <w:trPr>
          <w:trHeight w:val="395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Кіровоградська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1 150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96,4</w:t>
            </w:r>
          </w:p>
        </w:tc>
      </w:tr>
      <w:tr w:rsidR="004B6960" w:rsidRPr="00584F19" w:rsidTr="004B6960">
        <w:trPr>
          <w:trHeight w:val="395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Луганська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1 134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92,1</w:t>
            </w:r>
          </w:p>
        </w:tc>
      </w:tr>
      <w:tr w:rsidR="004B6960" w:rsidRPr="00584F19" w:rsidTr="004B6960">
        <w:trPr>
          <w:trHeight w:val="394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1 392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4B6960" w:rsidRPr="00584F19" w:rsidTr="004B6960">
        <w:trPr>
          <w:trHeight w:val="395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Миколаївська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1 008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4B6960" w:rsidRPr="00584F19" w:rsidTr="004B6960">
        <w:trPr>
          <w:trHeight w:val="395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Одеська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92,6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94,2</w:t>
            </w:r>
          </w:p>
        </w:tc>
      </w:tr>
      <w:tr w:rsidR="004B6960" w:rsidRPr="00584F19" w:rsidTr="004B6960">
        <w:trPr>
          <w:trHeight w:val="395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1 456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</w:tr>
      <w:tr w:rsidR="004B6960" w:rsidRPr="00584F19" w:rsidTr="004B6960">
        <w:trPr>
          <w:trHeight w:val="395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Рівненська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4B6960" w:rsidRPr="00584F19" w:rsidTr="004B6960">
        <w:trPr>
          <w:trHeight w:val="395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Сумська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95,9</w:t>
            </w:r>
          </w:p>
        </w:tc>
      </w:tr>
      <w:tr w:rsidR="004B6960" w:rsidRPr="00584F19" w:rsidTr="004B6960">
        <w:trPr>
          <w:trHeight w:val="394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Тернопільська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1 008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4B6960" w:rsidRPr="00584F19" w:rsidTr="004B6960">
        <w:trPr>
          <w:trHeight w:val="395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Харківська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1 566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92,1</w:t>
            </w:r>
          </w:p>
        </w:tc>
      </w:tr>
      <w:tr w:rsidR="004B6960" w:rsidRPr="00584F19" w:rsidTr="004B6960">
        <w:trPr>
          <w:trHeight w:val="395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Херсонська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1 566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4B6960" w:rsidRPr="00584F19" w:rsidTr="004B6960">
        <w:trPr>
          <w:trHeight w:val="395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Хмельницька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1 008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92,6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95,6</w:t>
            </w:r>
          </w:p>
        </w:tc>
      </w:tr>
      <w:tr w:rsidR="004B6960" w:rsidRPr="00584F19" w:rsidTr="004B6960">
        <w:trPr>
          <w:trHeight w:val="395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Черкаська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1 008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4B6960" w:rsidRPr="00584F19" w:rsidTr="004B6960">
        <w:trPr>
          <w:trHeight w:val="395"/>
          <w:jc w:val="center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Чернівецька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4B6960" w:rsidRPr="00584F19" w:rsidTr="004B6960">
        <w:trPr>
          <w:trHeight w:val="395"/>
          <w:jc w:val="center"/>
        </w:trPr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Чернігівська</w:t>
            </w:r>
          </w:p>
        </w:tc>
        <w:tc>
          <w:tcPr>
            <w:tcW w:w="1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6960" w:rsidRPr="00584F19" w:rsidRDefault="004B6960" w:rsidP="008F59E1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6960" w:rsidRPr="00584F19" w:rsidRDefault="004B6960" w:rsidP="004B6960">
            <w:pPr>
              <w:spacing w:after="0"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92,5</w:t>
            </w:r>
          </w:p>
        </w:tc>
      </w:tr>
    </w:tbl>
    <w:p w:rsidR="00097A15" w:rsidRDefault="00097A15" w:rsidP="004B3A8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097A15" w:rsidSect="008C2C78">
      <w:headerReference w:type="default" r:id="rId11"/>
      <w:pgSz w:w="11906" w:h="16838"/>
      <w:pgMar w:top="851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558" w:rsidRDefault="00785558" w:rsidP="00966DD7">
      <w:pPr>
        <w:spacing w:after="0" w:line="240" w:lineRule="auto"/>
      </w:pPr>
      <w:r>
        <w:separator/>
      </w:r>
    </w:p>
  </w:endnote>
  <w:endnote w:type="continuationSeparator" w:id="0">
    <w:p w:rsidR="00785558" w:rsidRDefault="00785558" w:rsidP="00966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558" w:rsidRDefault="00785558" w:rsidP="00966DD7">
      <w:pPr>
        <w:spacing w:after="0" w:line="240" w:lineRule="auto"/>
      </w:pPr>
      <w:r>
        <w:separator/>
      </w:r>
    </w:p>
  </w:footnote>
  <w:footnote w:type="continuationSeparator" w:id="0">
    <w:p w:rsidR="00785558" w:rsidRDefault="00785558" w:rsidP="00966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346252"/>
      <w:docPartObj>
        <w:docPartGallery w:val="Page Numbers (Top of Page)"/>
        <w:docPartUnique/>
      </w:docPartObj>
    </w:sdtPr>
    <w:sdtContent>
      <w:p w:rsidR="008C2C78" w:rsidRDefault="008C2C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459" w:rsidRPr="00323459">
          <w:rPr>
            <w:noProof/>
            <w:lang w:val="ru-RU"/>
          </w:rPr>
          <w:t>2</w:t>
        </w:r>
        <w:r>
          <w:fldChar w:fldCharType="end"/>
        </w:r>
      </w:p>
    </w:sdtContent>
  </w:sdt>
  <w:p w:rsidR="004A1933" w:rsidRPr="000B035F" w:rsidRDefault="004A1933" w:rsidP="000B035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4F2"/>
    <w:multiLevelType w:val="hybridMultilevel"/>
    <w:tmpl w:val="F104B048"/>
    <w:lvl w:ilvl="0" w:tplc="AFEC7598">
      <w:start w:val="65535"/>
      <w:numFmt w:val="bullet"/>
      <w:lvlText w:val="–"/>
      <w:lvlJc w:val="left"/>
      <w:pPr>
        <w:tabs>
          <w:tab w:val="num" w:pos="1582"/>
        </w:tabs>
        <w:ind w:left="873" w:firstLine="567"/>
      </w:pPr>
      <w:rPr>
        <w:rFonts w:ascii="Times New Roman CYR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3"/>
        </w:tabs>
        <w:ind w:left="23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3"/>
        </w:tabs>
        <w:ind w:left="30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3"/>
        </w:tabs>
        <w:ind w:left="37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3"/>
        </w:tabs>
        <w:ind w:left="44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3"/>
        </w:tabs>
        <w:ind w:left="51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3"/>
        </w:tabs>
        <w:ind w:left="59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3"/>
        </w:tabs>
        <w:ind w:left="66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3"/>
        </w:tabs>
        <w:ind w:left="7353" w:hanging="360"/>
      </w:pPr>
      <w:rPr>
        <w:rFonts w:ascii="Wingdings" w:hAnsi="Wingdings" w:hint="default"/>
      </w:rPr>
    </w:lvl>
  </w:abstractNum>
  <w:abstractNum w:abstractNumId="1">
    <w:nsid w:val="06D12121"/>
    <w:multiLevelType w:val="hybridMultilevel"/>
    <w:tmpl w:val="1C3CA634"/>
    <w:lvl w:ilvl="0" w:tplc="E446CE4E">
      <w:start w:val="1"/>
      <w:numFmt w:val="decimal"/>
      <w:lvlText w:val="%1."/>
      <w:lvlJc w:val="left"/>
      <w:pPr>
        <w:tabs>
          <w:tab w:val="num" w:pos="653"/>
        </w:tabs>
        <w:ind w:left="6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73"/>
        </w:tabs>
        <w:ind w:left="13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93"/>
        </w:tabs>
        <w:ind w:left="20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13"/>
        </w:tabs>
        <w:ind w:left="28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33"/>
        </w:tabs>
        <w:ind w:left="35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53"/>
        </w:tabs>
        <w:ind w:left="42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73"/>
        </w:tabs>
        <w:ind w:left="49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93"/>
        </w:tabs>
        <w:ind w:left="56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13"/>
        </w:tabs>
        <w:ind w:left="6413" w:hanging="180"/>
      </w:pPr>
    </w:lvl>
  </w:abstractNum>
  <w:abstractNum w:abstractNumId="2">
    <w:nsid w:val="19FB78C4"/>
    <w:multiLevelType w:val="hybridMultilevel"/>
    <w:tmpl w:val="AD9CB5B8"/>
    <w:lvl w:ilvl="0" w:tplc="5C06E082">
      <w:numFmt w:val="bullet"/>
      <w:lvlText w:val="-"/>
      <w:lvlJc w:val="left"/>
      <w:pPr>
        <w:tabs>
          <w:tab w:val="num" w:pos="1031"/>
        </w:tabs>
        <w:ind w:left="67" w:firstLine="6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2B0F095E"/>
    <w:multiLevelType w:val="multilevel"/>
    <w:tmpl w:val="931E651A"/>
    <w:lvl w:ilvl="0">
      <w:start w:val="65535"/>
      <w:numFmt w:val="bullet"/>
      <w:lvlText w:val="–"/>
      <w:lvlJc w:val="left"/>
      <w:pPr>
        <w:tabs>
          <w:tab w:val="num" w:pos="889"/>
        </w:tabs>
        <w:ind w:left="180" w:firstLine="567"/>
      </w:pPr>
      <w:rPr>
        <w:rFonts w:ascii="Times New Roman CYR" w:hAnsi="Times New Roman CYR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68B53B56"/>
    <w:multiLevelType w:val="hybridMultilevel"/>
    <w:tmpl w:val="5FB29A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463E25"/>
    <w:multiLevelType w:val="hybridMultilevel"/>
    <w:tmpl w:val="931E651A"/>
    <w:lvl w:ilvl="0" w:tplc="AFEC7598">
      <w:start w:val="65535"/>
      <w:numFmt w:val="bullet"/>
      <w:lvlText w:val="–"/>
      <w:lvlJc w:val="left"/>
      <w:pPr>
        <w:tabs>
          <w:tab w:val="num" w:pos="889"/>
        </w:tabs>
        <w:ind w:left="180" w:firstLine="567"/>
      </w:pPr>
      <w:rPr>
        <w:rFonts w:ascii="Times New Roman CYR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7D806172"/>
    <w:multiLevelType w:val="hybridMultilevel"/>
    <w:tmpl w:val="1F207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416"/>
    <w:rsid w:val="00033DA7"/>
    <w:rsid w:val="00097A15"/>
    <w:rsid w:val="000A6CF6"/>
    <w:rsid w:val="000B035F"/>
    <w:rsid w:val="000B13B9"/>
    <w:rsid w:val="0011585B"/>
    <w:rsid w:val="001F2D5B"/>
    <w:rsid w:val="001F4C85"/>
    <w:rsid w:val="002027B6"/>
    <w:rsid w:val="00235D43"/>
    <w:rsid w:val="00236170"/>
    <w:rsid w:val="0023717F"/>
    <w:rsid w:val="00250416"/>
    <w:rsid w:val="00281796"/>
    <w:rsid w:val="0029337A"/>
    <w:rsid w:val="002A14CD"/>
    <w:rsid w:val="002C3B26"/>
    <w:rsid w:val="002D1036"/>
    <w:rsid w:val="002E0A37"/>
    <w:rsid w:val="002F5E0F"/>
    <w:rsid w:val="00301A81"/>
    <w:rsid w:val="00313AB3"/>
    <w:rsid w:val="00323459"/>
    <w:rsid w:val="0035270D"/>
    <w:rsid w:val="003646E2"/>
    <w:rsid w:val="003873D0"/>
    <w:rsid w:val="00397443"/>
    <w:rsid w:val="003C18A4"/>
    <w:rsid w:val="00405973"/>
    <w:rsid w:val="00411452"/>
    <w:rsid w:val="0041504D"/>
    <w:rsid w:val="00432229"/>
    <w:rsid w:val="00435B1E"/>
    <w:rsid w:val="00447677"/>
    <w:rsid w:val="00455EDA"/>
    <w:rsid w:val="00475B3D"/>
    <w:rsid w:val="0048658B"/>
    <w:rsid w:val="004920EA"/>
    <w:rsid w:val="004A1933"/>
    <w:rsid w:val="004B04D6"/>
    <w:rsid w:val="004B3A84"/>
    <w:rsid w:val="004B6960"/>
    <w:rsid w:val="004D02C0"/>
    <w:rsid w:val="004E3F00"/>
    <w:rsid w:val="00554400"/>
    <w:rsid w:val="00572C93"/>
    <w:rsid w:val="00584F19"/>
    <w:rsid w:val="005D288A"/>
    <w:rsid w:val="005E05B3"/>
    <w:rsid w:val="005E1281"/>
    <w:rsid w:val="005F257A"/>
    <w:rsid w:val="00606DD9"/>
    <w:rsid w:val="00627C03"/>
    <w:rsid w:val="006560F8"/>
    <w:rsid w:val="00664D5B"/>
    <w:rsid w:val="0068534D"/>
    <w:rsid w:val="00695A05"/>
    <w:rsid w:val="006B08B4"/>
    <w:rsid w:val="006B48D4"/>
    <w:rsid w:val="00700FEB"/>
    <w:rsid w:val="00714047"/>
    <w:rsid w:val="00741220"/>
    <w:rsid w:val="0074793D"/>
    <w:rsid w:val="0076488A"/>
    <w:rsid w:val="007746E1"/>
    <w:rsid w:val="00785558"/>
    <w:rsid w:val="00785E9E"/>
    <w:rsid w:val="007904CB"/>
    <w:rsid w:val="00796BF7"/>
    <w:rsid w:val="0079705E"/>
    <w:rsid w:val="007A4994"/>
    <w:rsid w:val="007F7113"/>
    <w:rsid w:val="007F7888"/>
    <w:rsid w:val="0084200C"/>
    <w:rsid w:val="00857AEB"/>
    <w:rsid w:val="0087574B"/>
    <w:rsid w:val="008811BB"/>
    <w:rsid w:val="00887C99"/>
    <w:rsid w:val="0089633C"/>
    <w:rsid w:val="008B7664"/>
    <w:rsid w:val="008C2C78"/>
    <w:rsid w:val="008D1B7B"/>
    <w:rsid w:val="008E4796"/>
    <w:rsid w:val="008F59E1"/>
    <w:rsid w:val="0090021F"/>
    <w:rsid w:val="009214BC"/>
    <w:rsid w:val="00947ED4"/>
    <w:rsid w:val="00957706"/>
    <w:rsid w:val="00963653"/>
    <w:rsid w:val="00966DD7"/>
    <w:rsid w:val="009A0475"/>
    <w:rsid w:val="009A0506"/>
    <w:rsid w:val="009F1EF3"/>
    <w:rsid w:val="009F2F42"/>
    <w:rsid w:val="00A24483"/>
    <w:rsid w:val="00A54327"/>
    <w:rsid w:val="00A61A2B"/>
    <w:rsid w:val="00A845F3"/>
    <w:rsid w:val="00AA0FC3"/>
    <w:rsid w:val="00AA1E25"/>
    <w:rsid w:val="00AA345E"/>
    <w:rsid w:val="00AB6065"/>
    <w:rsid w:val="00AF5ADD"/>
    <w:rsid w:val="00B24B37"/>
    <w:rsid w:val="00B31783"/>
    <w:rsid w:val="00B363C9"/>
    <w:rsid w:val="00B631FF"/>
    <w:rsid w:val="00B8146B"/>
    <w:rsid w:val="00B93502"/>
    <w:rsid w:val="00BC1EDD"/>
    <w:rsid w:val="00BF625F"/>
    <w:rsid w:val="00C1529E"/>
    <w:rsid w:val="00C17830"/>
    <w:rsid w:val="00C2450D"/>
    <w:rsid w:val="00C5478D"/>
    <w:rsid w:val="00C92D54"/>
    <w:rsid w:val="00CA17C5"/>
    <w:rsid w:val="00CA650E"/>
    <w:rsid w:val="00CA7BCD"/>
    <w:rsid w:val="00CE548F"/>
    <w:rsid w:val="00CF3261"/>
    <w:rsid w:val="00D1631D"/>
    <w:rsid w:val="00D32D04"/>
    <w:rsid w:val="00D36ECD"/>
    <w:rsid w:val="00D720E3"/>
    <w:rsid w:val="00D83047"/>
    <w:rsid w:val="00D92CCD"/>
    <w:rsid w:val="00DC1E0D"/>
    <w:rsid w:val="00DF57BB"/>
    <w:rsid w:val="00E06129"/>
    <w:rsid w:val="00E276D6"/>
    <w:rsid w:val="00E42358"/>
    <w:rsid w:val="00E43CA4"/>
    <w:rsid w:val="00E751F6"/>
    <w:rsid w:val="00EC2616"/>
    <w:rsid w:val="00EE123A"/>
    <w:rsid w:val="00EF750B"/>
    <w:rsid w:val="00F078C8"/>
    <w:rsid w:val="00FA40F0"/>
    <w:rsid w:val="00FA5B39"/>
    <w:rsid w:val="00FF3023"/>
    <w:rsid w:val="00FF4BC3"/>
    <w:rsid w:val="00FF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4793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napToGrid w:val="0"/>
      <w:sz w:val="28"/>
      <w:szCs w:val="20"/>
      <w:lang w:val="en-GB" w:eastAsia="ru-RU"/>
    </w:rPr>
  </w:style>
  <w:style w:type="paragraph" w:styleId="2">
    <w:name w:val="heading 2"/>
    <w:basedOn w:val="a"/>
    <w:next w:val="a"/>
    <w:link w:val="20"/>
    <w:qFormat/>
    <w:rsid w:val="0074793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Cs w:val="20"/>
      <w:lang w:val="en-GB" w:eastAsia="ru-RU"/>
    </w:rPr>
  </w:style>
  <w:style w:type="paragraph" w:styleId="3">
    <w:name w:val="heading 3"/>
    <w:basedOn w:val="a"/>
    <w:next w:val="a"/>
    <w:link w:val="30"/>
    <w:qFormat/>
    <w:rsid w:val="0074793D"/>
    <w:pPr>
      <w:keepNext/>
      <w:spacing w:before="120" w:after="0" w:line="240" w:lineRule="auto"/>
      <w:ind w:left="567"/>
      <w:jc w:val="both"/>
      <w:outlineLvl w:val="2"/>
    </w:pPr>
    <w:rPr>
      <w:rFonts w:ascii="Times New Roman" w:eastAsia="Times New Roman" w:hAnsi="Times New Roman" w:cs="Times New Roman"/>
      <w:b/>
      <w:i/>
      <w:szCs w:val="20"/>
      <w:lang w:val="en-US" w:eastAsia="ru-RU"/>
    </w:rPr>
  </w:style>
  <w:style w:type="paragraph" w:styleId="4">
    <w:name w:val="heading 4"/>
    <w:basedOn w:val="a"/>
    <w:next w:val="a"/>
    <w:link w:val="40"/>
    <w:qFormat/>
    <w:rsid w:val="0074793D"/>
    <w:pPr>
      <w:keepNext/>
      <w:spacing w:after="0" w:line="240" w:lineRule="auto"/>
      <w:ind w:firstLine="360"/>
      <w:outlineLvl w:val="3"/>
    </w:pPr>
    <w:rPr>
      <w:rFonts w:ascii="Times New Roman" w:eastAsia="Times New Roman" w:hAnsi="Times New Roman" w:cs="Times New Roman"/>
      <w:b/>
      <w:i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0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uiPriority w:val="44"/>
    <w:rsid w:val="002504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1">
    <w:name w:val="Сітка таблиці1"/>
    <w:basedOn w:val="a1"/>
    <w:next w:val="a3"/>
    <w:rsid w:val="008E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ітка таблиці2"/>
    <w:basedOn w:val="a1"/>
    <w:next w:val="a3"/>
    <w:rsid w:val="00435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5E1281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table" w:customStyle="1" w:styleId="31">
    <w:name w:val="Сітка таблиці3"/>
    <w:basedOn w:val="a1"/>
    <w:next w:val="a3"/>
    <w:rsid w:val="00C245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ітка таблиці4"/>
    <w:basedOn w:val="a1"/>
    <w:next w:val="a3"/>
    <w:rsid w:val="00747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ітка таблиці5"/>
    <w:basedOn w:val="a1"/>
    <w:next w:val="a3"/>
    <w:rsid w:val="00747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ітка таблиці6"/>
    <w:basedOn w:val="a1"/>
    <w:next w:val="a3"/>
    <w:rsid w:val="00747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4793D"/>
    <w:rPr>
      <w:rFonts w:ascii="Times New Roman" w:eastAsia="Times New Roman" w:hAnsi="Times New Roman" w:cs="Times New Roman"/>
      <w:b/>
      <w:snapToGrid w:val="0"/>
      <w:sz w:val="28"/>
      <w:szCs w:val="20"/>
      <w:lang w:val="en-GB" w:eastAsia="ru-RU"/>
    </w:rPr>
  </w:style>
  <w:style w:type="character" w:customStyle="1" w:styleId="20">
    <w:name w:val="Заголовок 2 Знак"/>
    <w:basedOn w:val="a0"/>
    <w:link w:val="2"/>
    <w:rsid w:val="0074793D"/>
    <w:rPr>
      <w:rFonts w:ascii="Times New Roman" w:eastAsia="Times New Roman" w:hAnsi="Times New Roman" w:cs="Times New Roman"/>
      <w:b/>
      <w:szCs w:val="20"/>
      <w:lang w:val="en-GB" w:eastAsia="ru-RU"/>
    </w:rPr>
  </w:style>
  <w:style w:type="character" w:customStyle="1" w:styleId="30">
    <w:name w:val="Заголовок 3 Знак"/>
    <w:basedOn w:val="a0"/>
    <w:link w:val="3"/>
    <w:rsid w:val="0074793D"/>
    <w:rPr>
      <w:rFonts w:ascii="Times New Roman" w:eastAsia="Times New Roman" w:hAnsi="Times New Roman" w:cs="Times New Roman"/>
      <w:b/>
      <w:i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74793D"/>
    <w:rPr>
      <w:rFonts w:ascii="Times New Roman" w:eastAsia="Times New Roman" w:hAnsi="Times New Roman" w:cs="Times New Roman"/>
      <w:b/>
      <w:i/>
      <w:szCs w:val="20"/>
      <w:lang w:val="en-US" w:eastAsia="ru-RU"/>
    </w:rPr>
  </w:style>
  <w:style w:type="numbering" w:customStyle="1" w:styleId="12">
    <w:name w:val="Немає списку1"/>
    <w:next w:val="a2"/>
    <w:semiHidden/>
    <w:rsid w:val="0074793D"/>
  </w:style>
  <w:style w:type="paragraph" w:styleId="a5">
    <w:name w:val="Body Text Indent"/>
    <w:basedOn w:val="a"/>
    <w:link w:val="a6"/>
    <w:rsid w:val="0074793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Cs w:val="20"/>
      <w:lang w:val="en-GB" w:eastAsia="ru-RU"/>
    </w:rPr>
  </w:style>
  <w:style w:type="character" w:customStyle="1" w:styleId="a6">
    <w:name w:val="Основной текст с отступом Знак"/>
    <w:basedOn w:val="a0"/>
    <w:link w:val="a5"/>
    <w:rsid w:val="0074793D"/>
    <w:rPr>
      <w:rFonts w:ascii="Times New Roman" w:eastAsia="Times New Roman" w:hAnsi="Times New Roman" w:cs="Times New Roman"/>
      <w:szCs w:val="20"/>
      <w:lang w:val="en-GB" w:eastAsia="ru-RU"/>
    </w:rPr>
  </w:style>
  <w:style w:type="paragraph" w:customStyle="1" w:styleId="13">
    <w:name w:val="Звичайний1"/>
    <w:rsid w:val="0074793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22">
    <w:name w:val="Body Text Indent 2"/>
    <w:basedOn w:val="a"/>
    <w:link w:val="23"/>
    <w:rsid w:val="0074793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3">
    <w:name w:val="Основной текст с отступом 2 Знак"/>
    <w:basedOn w:val="a0"/>
    <w:link w:val="22"/>
    <w:rsid w:val="0074793D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7">
    <w:name w:val="header"/>
    <w:basedOn w:val="a"/>
    <w:link w:val="a8"/>
    <w:uiPriority w:val="99"/>
    <w:rsid w:val="007479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GB"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74793D"/>
    <w:rPr>
      <w:rFonts w:ascii="Times New Roman" w:eastAsia="Times New Roman" w:hAnsi="Times New Roman" w:cs="Times New Roman"/>
      <w:sz w:val="28"/>
      <w:szCs w:val="20"/>
      <w:lang w:val="en-GB" w:eastAsia="ru-RU"/>
    </w:rPr>
  </w:style>
  <w:style w:type="paragraph" w:styleId="a9">
    <w:name w:val="footer"/>
    <w:basedOn w:val="a"/>
    <w:link w:val="aa"/>
    <w:rsid w:val="007479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GB" w:eastAsia="ru-RU"/>
    </w:rPr>
  </w:style>
  <w:style w:type="character" w:customStyle="1" w:styleId="aa">
    <w:name w:val="Нижний колонтитул Знак"/>
    <w:basedOn w:val="a0"/>
    <w:link w:val="a9"/>
    <w:rsid w:val="0074793D"/>
    <w:rPr>
      <w:rFonts w:ascii="Times New Roman" w:eastAsia="Times New Roman" w:hAnsi="Times New Roman" w:cs="Times New Roman"/>
      <w:sz w:val="28"/>
      <w:szCs w:val="20"/>
      <w:lang w:val="en-GB" w:eastAsia="ru-RU"/>
    </w:rPr>
  </w:style>
  <w:style w:type="character" w:styleId="ab">
    <w:name w:val="page number"/>
    <w:basedOn w:val="a0"/>
    <w:rsid w:val="0074793D"/>
  </w:style>
  <w:style w:type="table" w:customStyle="1" w:styleId="7">
    <w:name w:val="Сітка таблиці7"/>
    <w:basedOn w:val="a1"/>
    <w:next w:val="a3"/>
    <w:rsid w:val="00747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semiHidden/>
    <w:rsid w:val="0074793D"/>
    <w:pPr>
      <w:spacing w:after="0" w:line="240" w:lineRule="auto"/>
    </w:pPr>
    <w:rPr>
      <w:rFonts w:ascii="Tahoma" w:eastAsia="Times New Roman" w:hAnsi="Tahoma" w:cs="Tahoma"/>
      <w:sz w:val="16"/>
      <w:szCs w:val="16"/>
      <w:lang w:val="en-GB" w:eastAsia="ru-RU"/>
    </w:rPr>
  </w:style>
  <w:style w:type="character" w:customStyle="1" w:styleId="ad">
    <w:name w:val="Текст выноски Знак"/>
    <w:basedOn w:val="a0"/>
    <w:link w:val="ac"/>
    <w:semiHidden/>
    <w:rsid w:val="0074793D"/>
    <w:rPr>
      <w:rFonts w:ascii="Tahoma" w:eastAsia="Times New Roman" w:hAnsi="Tahoma" w:cs="Tahoma"/>
      <w:sz w:val="16"/>
      <w:szCs w:val="16"/>
      <w:lang w:val="en-GB" w:eastAsia="ru-RU"/>
    </w:rPr>
  </w:style>
  <w:style w:type="character" w:styleId="ae">
    <w:name w:val="Hyperlink"/>
    <w:basedOn w:val="a0"/>
    <w:rsid w:val="0074793D"/>
    <w:rPr>
      <w:color w:val="0000FF"/>
      <w:u w:val="single"/>
    </w:rPr>
  </w:style>
  <w:style w:type="paragraph" w:customStyle="1" w:styleId="af">
    <w:name w:val="Знак Знак Знак Знак Знак Знак Знак Знак Знак"/>
    <w:basedOn w:val="a"/>
    <w:rsid w:val="0074793D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0">
    <w:name w:val="caption"/>
    <w:basedOn w:val="a"/>
    <w:next w:val="a"/>
    <w:uiPriority w:val="35"/>
    <w:unhideWhenUsed/>
    <w:qFormat/>
    <w:rsid w:val="0074793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 w:eastAsia="ru-RU"/>
    </w:rPr>
  </w:style>
  <w:style w:type="character" w:styleId="af1">
    <w:name w:val="annotation reference"/>
    <w:basedOn w:val="a0"/>
    <w:uiPriority w:val="99"/>
    <w:semiHidden/>
    <w:unhideWhenUsed/>
    <w:rsid w:val="0074793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747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74793D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4793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4793D"/>
    <w:rPr>
      <w:rFonts w:ascii="Times New Roman" w:eastAsia="Times New Roman" w:hAnsi="Times New Roman" w:cs="Times New Roman"/>
      <w:b/>
      <w:bCs/>
      <w:sz w:val="20"/>
      <w:szCs w:val="20"/>
      <w:lang w:val="en-GB" w:eastAsia="ru-RU"/>
    </w:rPr>
  </w:style>
  <w:style w:type="paragraph" w:styleId="af6">
    <w:name w:val="Revision"/>
    <w:hidden/>
    <w:uiPriority w:val="99"/>
    <w:semiHidden/>
    <w:rsid w:val="0074793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GB" w:eastAsia="ru-RU"/>
    </w:rPr>
  </w:style>
  <w:style w:type="paragraph" w:customStyle="1" w:styleId="af7">
    <w:name w:val="Знак Знак Знак Знак Знак Знак Знак"/>
    <w:basedOn w:val="a"/>
    <w:rsid w:val="0079705E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8">
    <w:name w:val="Знак Знак Знак Знак Знак Знак Знак"/>
    <w:basedOn w:val="a"/>
    <w:rsid w:val="000A6CF6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4793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napToGrid w:val="0"/>
      <w:sz w:val="28"/>
      <w:szCs w:val="20"/>
      <w:lang w:val="en-GB" w:eastAsia="ru-RU"/>
    </w:rPr>
  </w:style>
  <w:style w:type="paragraph" w:styleId="2">
    <w:name w:val="heading 2"/>
    <w:basedOn w:val="a"/>
    <w:next w:val="a"/>
    <w:link w:val="20"/>
    <w:qFormat/>
    <w:rsid w:val="0074793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Cs w:val="20"/>
      <w:lang w:val="en-GB" w:eastAsia="ru-RU"/>
    </w:rPr>
  </w:style>
  <w:style w:type="paragraph" w:styleId="3">
    <w:name w:val="heading 3"/>
    <w:basedOn w:val="a"/>
    <w:next w:val="a"/>
    <w:link w:val="30"/>
    <w:qFormat/>
    <w:rsid w:val="0074793D"/>
    <w:pPr>
      <w:keepNext/>
      <w:spacing w:before="120" w:after="0" w:line="240" w:lineRule="auto"/>
      <w:ind w:left="567"/>
      <w:jc w:val="both"/>
      <w:outlineLvl w:val="2"/>
    </w:pPr>
    <w:rPr>
      <w:rFonts w:ascii="Times New Roman" w:eastAsia="Times New Roman" w:hAnsi="Times New Roman" w:cs="Times New Roman"/>
      <w:b/>
      <w:i/>
      <w:szCs w:val="20"/>
      <w:lang w:val="en-US" w:eastAsia="ru-RU"/>
    </w:rPr>
  </w:style>
  <w:style w:type="paragraph" w:styleId="4">
    <w:name w:val="heading 4"/>
    <w:basedOn w:val="a"/>
    <w:next w:val="a"/>
    <w:link w:val="40"/>
    <w:qFormat/>
    <w:rsid w:val="0074793D"/>
    <w:pPr>
      <w:keepNext/>
      <w:spacing w:after="0" w:line="240" w:lineRule="auto"/>
      <w:ind w:firstLine="360"/>
      <w:outlineLvl w:val="3"/>
    </w:pPr>
    <w:rPr>
      <w:rFonts w:ascii="Times New Roman" w:eastAsia="Times New Roman" w:hAnsi="Times New Roman" w:cs="Times New Roman"/>
      <w:b/>
      <w:i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0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uiPriority w:val="44"/>
    <w:rsid w:val="002504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1">
    <w:name w:val="Сітка таблиці1"/>
    <w:basedOn w:val="a1"/>
    <w:next w:val="a3"/>
    <w:rsid w:val="008E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ітка таблиці2"/>
    <w:basedOn w:val="a1"/>
    <w:next w:val="a3"/>
    <w:rsid w:val="00435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5E1281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table" w:customStyle="1" w:styleId="31">
    <w:name w:val="Сітка таблиці3"/>
    <w:basedOn w:val="a1"/>
    <w:next w:val="a3"/>
    <w:rsid w:val="00C245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ітка таблиці4"/>
    <w:basedOn w:val="a1"/>
    <w:next w:val="a3"/>
    <w:rsid w:val="00747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ітка таблиці5"/>
    <w:basedOn w:val="a1"/>
    <w:next w:val="a3"/>
    <w:rsid w:val="00747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ітка таблиці6"/>
    <w:basedOn w:val="a1"/>
    <w:next w:val="a3"/>
    <w:rsid w:val="00747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4793D"/>
    <w:rPr>
      <w:rFonts w:ascii="Times New Roman" w:eastAsia="Times New Roman" w:hAnsi="Times New Roman" w:cs="Times New Roman"/>
      <w:b/>
      <w:snapToGrid w:val="0"/>
      <w:sz w:val="28"/>
      <w:szCs w:val="20"/>
      <w:lang w:val="en-GB" w:eastAsia="ru-RU"/>
    </w:rPr>
  </w:style>
  <w:style w:type="character" w:customStyle="1" w:styleId="20">
    <w:name w:val="Заголовок 2 Знак"/>
    <w:basedOn w:val="a0"/>
    <w:link w:val="2"/>
    <w:rsid w:val="0074793D"/>
    <w:rPr>
      <w:rFonts w:ascii="Times New Roman" w:eastAsia="Times New Roman" w:hAnsi="Times New Roman" w:cs="Times New Roman"/>
      <w:b/>
      <w:szCs w:val="20"/>
      <w:lang w:val="en-GB" w:eastAsia="ru-RU"/>
    </w:rPr>
  </w:style>
  <w:style w:type="character" w:customStyle="1" w:styleId="30">
    <w:name w:val="Заголовок 3 Знак"/>
    <w:basedOn w:val="a0"/>
    <w:link w:val="3"/>
    <w:rsid w:val="0074793D"/>
    <w:rPr>
      <w:rFonts w:ascii="Times New Roman" w:eastAsia="Times New Roman" w:hAnsi="Times New Roman" w:cs="Times New Roman"/>
      <w:b/>
      <w:i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74793D"/>
    <w:rPr>
      <w:rFonts w:ascii="Times New Roman" w:eastAsia="Times New Roman" w:hAnsi="Times New Roman" w:cs="Times New Roman"/>
      <w:b/>
      <w:i/>
      <w:szCs w:val="20"/>
      <w:lang w:val="en-US" w:eastAsia="ru-RU"/>
    </w:rPr>
  </w:style>
  <w:style w:type="numbering" w:customStyle="1" w:styleId="12">
    <w:name w:val="Немає списку1"/>
    <w:next w:val="a2"/>
    <w:semiHidden/>
    <w:rsid w:val="0074793D"/>
  </w:style>
  <w:style w:type="paragraph" w:styleId="a5">
    <w:name w:val="Body Text Indent"/>
    <w:basedOn w:val="a"/>
    <w:link w:val="a6"/>
    <w:rsid w:val="0074793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Cs w:val="20"/>
      <w:lang w:val="en-GB" w:eastAsia="ru-RU"/>
    </w:rPr>
  </w:style>
  <w:style w:type="character" w:customStyle="1" w:styleId="a6">
    <w:name w:val="Основной текст с отступом Знак"/>
    <w:basedOn w:val="a0"/>
    <w:link w:val="a5"/>
    <w:rsid w:val="0074793D"/>
    <w:rPr>
      <w:rFonts w:ascii="Times New Roman" w:eastAsia="Times New Roman" w:hAnsi="Times New Roman" w:cs="Times New Roman"/>
      <w:szCs w:val="20"/>
      <w:lang w:val="en-GB" w:eastAsia="ru-RU"/>
    </w:rPr>
  </w:style>
  <w:style w:type="paragraph" w:customStyle="1" w:styleId="13">
    <w:name w:val="Звичайний1"/>
    <w:rsid w:val="0074793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22">
    <w:name w:val="Body Text Indent 2"/>
    <w:basedOn w:val="a"/>
    <w:link w:val="23"/>
    <w:rsid w:val="0074793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3">
    <w:name w:val="Основной текст с отступом 2 Знак"/>
    <w:basedOn w:val="a0"/>
    <w:link w:val="22"/>
    <w:rsid w:val="0074793D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7">
    <w:name w:val="header"/>
    <w:basedOn w:val="a"/>
    <w:link w:val="a8"/>
    <w:uiPriority w:val="99"/>
    <w:rsid w:val="007479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GB"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74793D"/>
    <w:rPr>
      <w:rFonts w:ascii="Times New Roman" w:eastAsia="Times New Roman" w:hAnsi="Times New Roman" w:cs="Times New Roman"/>
      <w:sz w:val="28"/>
      <w:szCs w:val="20"/>
      <w:lang w:val="en-GB" w:eastAsia="ru-RU"/>
    </w:rPr>
  </w:style>
  <w:style w:type="paragraph" w:styleId="a9">
    <w:name w:val="footer"/>
    <w:basedOn w:val="a"/>
    <w:link w:val="aa"/>
    <w:rsid w:val="007479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GB" w:eastAsia="ru-RU"/>
    </w:rPr>
  </w:style>
  <w:style w:type="character" w:customStyle="1" w:styleId="aa">
    <w:name w:val="Нижний колонтитул Знак"/>
    <w:basedOn w:val="a0"/>
    <w:link w:val="a9"/>
    <w:rsid w:val="0074793D"/>
    <w:rPr>
      <w:rFonts w:ascii="Times New Roman" w:eastAsia="Times New Roman" w:hAnsi="Times New Roman" w:cs="Times New Roman"/>
      <w:sz w:val="28"/>
      <w:szCs w:val="20"/>
      <w:lang w:val="en-GB" w:eastAsia="ru-RU"/>
    </w:rPr>
  </w:style>
  <w:style w:type="character" w:styleId="ab">
    <w:name w:val="page number"/>
    <w:basedOn w:val="a0"/>
    <w:rsid w:val="0074793D"/>
  </w:style>
  <w:style w:type="table" w:customStyle="1" w:styleId="7">
    <w:name w:val="Сітка таблиці7"/>
    <w:basedOn w:val="a1"/>
    <w:next w:val="a3"/>
    <w:rsid w:val="00747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semiHidden/>
    <w:rsid w:val="0074793D"/>
    <w:pPr>
      <w:spacing w:after="0" w:line="240" w:lineRule="auto"/>
    </w:pPr>
    <w:rPr>
      <w:rFonts w:ascii="Tahoma" w:eastAsia="Times New Roman" w:hAnsi="Tahoma" w:cs="Tahoma"/>
      <w:sz w:val="16"/>
      <w:szCs w:val="16"/>
      <w:lang w:val="en-GB" w:eastAsia="ru-RU"/>
    </w:rPr>
  </w:style>
  <w:style w:type="character" w:customStyle="1" w:styleId="ad">
    <w:name w:val="Текст выноски Знак"/>
    <w:basedOn w:val="a0"/>
    <w:link w:val="ac"/>
    <w:semiHidden/>
    <w:rsid w:val="0074793D"/>
    <w:rPr>
      <w:rFonts w:ascii="Tahoma" w:eastAsia="Times New Roman" w:hAnsi="Tahoma" w:cs="Tahoma"/>
      <w:sz w:val="16"/>
      <w:szCs w:val="16"/>
      <w:lang w:val="en-GB" w:eastAsia="ru-RU"/>
    </w:rPr>
  </w:style>
  <w:style w:type="character" w:styleId="ae">
    <w:name w:val="Hyperlink"/>
    <w:basedOn w:val="a0"/>
    <w:rsid w:val="0074793D"/>
    <w:rPr>
      <w:color w:val="0000FF"/>
      <w:u w:val="single"/>
    </w:rPr>
  </w:style>
  <w:style w:type="paragraph" w:customStyle="1" w:styleId="af">
    <w:name w:val="Знак Знак Знак Знак Знак Знак Знак Знак Знак"/>
    <w:basedOn w:val="a"/>
    <w:rsid w:val="0074793D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0">
    <w:name w:val="caption"/>
    <w:basedOn w:val="a"/>
    <w:next w:val="a"/>
    <w:uiPriority w:val="35"/>
    <w:unhideWhenUsed/>
    <w:qFormat/>
    <w:rsid w:val="0074793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 w:eastAsia="ru-RU"/>
    </w:rPr>
  </w:style>
  <w:style w:type="character" w:styleId="af1">
    <w:name w:val="annotation reference"/>
    <w:basedOn w:val="a0"/>
    <w:uiPriority w:val="99"/>
    <w:semiHidden/>
    <w:unhideWhenUsed/>
    <w:rsid w:val="0074793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747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74793D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4793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4793D"/>
    <w:rPr>
      <w:rFonts w:ascii="Times New Roman" w:eastAsia="Times New Roman" w:hAnsi="Times New Roman" w:cs="Times New Roman"/>
      <w:b/>
      <w:bCs/>
      <w:sz w:val="20"/>
      <w:szCs w:val="20"/>
      <w:lang w:val="en-GB" w:eastAsia="ru-RU"/>
    </w:rPr>
  </w:style>
  <w:style w:type="paragraph" w:styleId="af6">
    <w:name w:val="Revision"/>
    <w:hidden/>
    <w:uiPriority w:val="99"/>
    <w:semiHidden/>
    <w:rsid w:val="0074793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GB" w:eastAsia="ru-RU"/>
    </w:rPr>
  </w:style>
  <w:style w:type="paragraph" w:customStyle="1" w:styleId="af7">
    <w:name w:val="Знак Знак Знак Знак Знак Знак Знак"/>
    <w:basedOn w:val="a"/>
    <w:rsid w:val="0079705E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8">
    <w:name w:val="Знак Знак Знак Знак Знак Знак Знак"/>
    <w:basedOn w:val="a"/>
    <w:rsid w:val="000A6CF6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58;&#1040;&#1058;_&#1041;&#1070;&#1051;&#1045;&#1058;&#1045;&#1053;&#1068;%2001-&#1057;&#1043;&#1053;\&#1041;&#1102;&#1083;&#1077;&#1090;&#1077;&#1085;&#1100;_2016\&#1056;&#1086;&#1073;&#1086;&#1095;&#1110;%20&#1084;&#1072;&#1090;&#1077;&#1088;&#1110;&#1072;&#1083;&#1080;\Quality_2016_all_(&#1060;&#1040;&#1050;&#1058;&#1048;&#1063;&#1053;&#1030;%20&#1044;&#1040;&#1053;&#1030;)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D:\&#1057;&#1058;&#1040;&#1058;_&#1041;&#1070;&#1051;&#1045;&#1058;&#1045;&#1053;&#1068;%2001-&#1057;&#1043;&#1053;\&#1041;&#1102;&#1083;&#1077;&#1090;&#1077;&#1085;&#1100;_2016\&#1056;&#1086;&#1073;&#1086;&#1095;&#1110;%20&#1084;&#1072;&#1090;&#1077;&#1088;&#1110;&#1072;&#1083;&#1080;\Quality_2016_all_(&#1060;&#1040;&#1050;&#1058;&#1048;&#1063;&#1053;&#1030;%20&#1044;&#1040;&#1053;&#1030;)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418055777349206E-2"/>
          <c:y val="0.12962962962962962"/>
          <c:w val="0.91470102898604133"/>
          <c:h val="0.55609580052493435"/>
        </c:manualLayout>
      </c:layout>
      <c:lineChart>
        <c:grouping val="standard"/>
        <c:varyColors val="0"/>
        <c:ser>
          <c:idx val="0"/>
          <c:order val="0"/>
          <c:tx>
            <c:strRef>
              <c:f>Рис.1!$C$19</c:f>
              <c:strCache>
                <c:ptCount val="1"/>
                <c:pt idx="0">
                  <c:v>Частка домогосподарств, які взяли участь у обстеженні</c:v>
                </c:pt>
              </c:strCache>
            </c:strRef>
          </c:tx>
          <c:cat>
            <c:numRef>
              <c:f>Рис.1!$B$20:$B$32</c:f>
              <c:numCache>
                <c:formatCode>General</c:formatCode>
                <c:ptCount val="13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  <c:pt idx="8">
                  <c:v>2012</c:v>
                </c:pt>
                <c:pt idx="9">
                  <c:v>2013</c:v>
                </c:pt>
                <c:pt idx="10">
                  <c:v>2014</c:v>
                </c:pt>
                <c:pt idx="11">
                  <c:v>2015</c:v>
                </c:pt>
                <c:pt idx="12">
                  <c:v>2016</c:v>
                </c:pt>
              </c:numCache>
            </c:numRef>
          </c:cat>
          <c:val>
            <c:numRef>
              <c:f>Рис.1!$C$20:$C$32</c:f>
              <c:numCache>
                <c:formatCode>General</c:formatCode>
                <c:ptCount val="13"/>
                <c:pt idx="0">
                  <c:v>94.4</c:v>
                </c:pt>
                <c:pt idx="1">
                  <c:v>91.9</c:v>
                </c:pt>
                <c:pt idx="2">
                  <c:v>94</c:v>
                </c:pt>
                <c:pt idx="3">
                  <c:v>92.9</c:v>
                </c:pt>
                <c:pt idx="4">
                  <c:v>93.9</c:v>
                </c:pt>
                <c:pt idx="5">
                  <c:v>94.5</c:v>
                </c:pt>
                <c:pt idx="6">
                  <c:v>95</c:v>
                </c:pt>
                <c:pt idx="7">
                  <c:v>96.3</c:v>
                </c:pt>
                <c:pt idx="8">
                  <c:v>96.5</c:v>
                </c:pt>
                <c:pt idx="9">
                  <c:v>96.6</c:v>
                </c:pt>
                <c:pt idx="10">
                  <c:v>96.4</c:v>
                </c:pt>
                <c:pt idx="11">
                  <c:v>95.8</c:v>
                </c:pt>
                <c:pt idx="12">
                  <c:v>94.2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Рис.1!$D$19</c:f>
              <c:strCache>
                <c:ptCount val="1"/>
                <c:pt idx="0">
                  <c:v>Частка домогосподарств, які взяли участь у обстеженні після виключення зачинених домогосподарств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numRef>
              <c:f>Рис.1!$B$20:$B$32</c:f>
              <c:numCache>
                <c:formatCode>General</c:formatCode>
                <c:ptCount val="13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  <c:pt idx="8">
                  <c:v>2012</c:v>
                </c:pt>
                <c:pt idx="9">
                  <c:v>2013</c:v>
                </c:pt>
                <c:pt idx="10">
                  <c:v>2014</c:v>
                </c:pt>
                <c:pt idx="11">
                  <c:v>2015</c:v>
                </c:pt>
                <c:pt idx="12">
                  <c:v>2016</c:v>
                </c:pt>
              </c:numCache>
            </c:numRef>
          </c:cat>
          <c:val>
            <c:numRef>
              <c:f>Рис.1!$D$20:$D$32</c:f>
              <c:numCache>
                <c:formatCode>General</c:formatCode>
                <c:ptCount val="13"/>
                <c:pt idx="0">
                  <c:v>96.3</c:v>
                </c:pt>
                <c:pt idx="1">
                  <c:v>94.3</c:v>
                </c:pt>
                <c:pt idx="2">
                  <c:v>95.7</c:v>
                </c:pt>
                <c:pt idx="3">
                  <c:v>94.7</c:v>
                </c:pt>
                <c:pt idx="4">
                  <c:v>95.5</c:v>
                </c:pt>
                <c:pt idx="5">
                  <c:v>95.9</c:v>
                </c:pt>
                <c:pt idx="6">
                  <c:v>96.1</c:v>
                </c:pt>
                <c:pt idx="7">
                  <c:v>97.4</c:v>
                </c:pt>
                <c:pt idx="8">
                  <c:v>97.4</c:v>
                </c:pt>
                <c:pt idx="9">
                  <c:v>97.7</c:v>
                </c:pt>
                <c:pt idx="10">
                  <c:v>97.4</c:v>
                </c:pt>
                <c:pt idx="11">
                  <c:v>97</c:v>
                </c:pt>
                <c:pt idx="12">
                  <c:v>95.7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3838208"/>
        <c:axId val="150918208"/>
      </c:lineChart>
      <c:catAx>
        <c:axId val="223838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uk-UA"/>
          </a:p>
        </c:txPr>
        <c:crossAx val="150918208"/>
        <c:crosses val="autoZero"/>
        <c:auto val="1"/>
        <c:lblAlgn val="ctr"/>
        <c:lblOffset val="100"/>
        <c:noMultiLvlLbl val="0"/>
      </c:catAx>
      <c:valAx>
        <c:axId val="150918208"/>
        <c:scaling>
          <c:orientation val="minMax"/>
          <c:max val="100"/>
          <c:min val="9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uk-UA"/>
          </a:p>
        </c:txPr>
        <c:crossAx val="223838208"/>
        <c:crosses val="autoZero"/>
        <c:crossBetween val="between"/>
        <c:majorUnit val="5"/>
      </c:valAx>
      <c:spPr>
        <a:noFill/>
        <a:ln>
          <a:noFill/>
        </a:ln>
      </c:spPr>
    </c:plotArea>
    <c:legend>
      <c:legendPos val="b"/>
      <c:layout>
        <c:manualLayout>
          <c:xMode val="edge"/>
          <c:yMode val="edge"/>
          <c:x val="3.1424816047760019E-2"/>
          <c:y val="0.79244604841061539"/>
          <c:w val="0.9433906175144644"/>
          <c:h val="0.17977617381160685"/>
        </c:manualLayout>
      </c:layout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2979180234049706E-2"/>
          <c:y val="0.12019755595066746"/>
          <c:w val="0.92098071951532379"/>
          <c:h val="0.57502855153858456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Рис.2!$C$18</c:f>
              <c:strCache>
                <c:ptCount val="1"/>
                <c:pt idx="0">
                  <c:v>Домогосподарства, які відмовилися від обстеження</c:v>
                </c:pt>
              </c:strCache>
            </c:strRef>
          </c:tx>
          <c:spPr>
            <a:solidFill>
              <a:schemeClr val="tx1">
                <a:lumMod val="65000"/>
                <a:lumOff val="35000"/>
              </a:schemeClr>
            </a:solidFill>
            <a:ln w="12700">
              <a:solidFill>
                <a:schemeClr val="tx1"/>
              </a:solidFill>
            </a:ln>
          </c:spPr>
          <c:invertIfNegative val="0"/>
          <c:cat>
            <c:numRef>
              <c:f>Рис.2!$B$19:$B$31</c:f>
              <c:numCache>
                <c:formatCode>General</c:formatCode>
                <c:ptCount val="13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  <c:pt idx="8">
                  <c:v>2012</c:v>
                </c:pt>
                <c:pt idx="9">
                  <c:v>2013</c:v>
                </c:pt>
                <c:pt idx="10">
                  <c:v>2014</c:v>
                </c:pt>
                <c:pt idx="11">
                  <c:v>2015</c:v>
                </c:pt>
                <c:pt idx="12">
                  <c:v>2016</c:v>
                </c:pt>
              </c:numCache>
            </c:numRef>
          </c:cat>
          <c:val>
            <c:numRef>
              <c:f>Рис.2!$C$19:$C$31</c:f>
              <c:numCache>
                <c:formatCode>General</c:formatCode>
                <c:ptCount val="13"/>
                <c:pt idx="0">
                  <c:v>0.5</c:v>
                </c:pt>
                <c:pt idx="1">
                  <c:v>0.8</c:v>
                </c:pt>
                <c:pt idx="2">
                  <c:v>0.5</c:v>
                </c:pt>
                <c:pt idx="3">
                  <c:v>0.3</c:v>
                </c:pt>
                <c:pt idx="4">
                  <c:v>0.3</c:v>
                </c:pt>
                <c:pt idx="5">
                  <c:v>0.3</c:v>
                </c:pt>
                <c:pt idx="6">
                  <c:v>0.2</c:v>
                </c:pt>
                <c:pt idx="7">
                  <c:v>0.3</c:v>
                </c:pt>
                <c:pt idx="8">
                  <c:v>0.2</c:v>
                </c:pt>
                <c:pt idx="9">
                  <c:v>0.3</c:v>
                </c:pt>
                <c:pt idx="10">
                  <c:v>0.3</c:v>
                </c:pt>
                <c:pt idx="11">
                  <c:v>0.4</c:v>
                </c:pt>
                <c:pt idx="12">
                  <c:v>0.5</c:v>
                </c:pt>
              </c:numCache>
            </c:numRef>
          </c:val>
        </c:ser>
        <c:ser>
          <c:idx val="1"/>
          <c:order val="1"/>
          <c:tx>
            <c:strRef>
              <c:f>Рис.2!$D$18</c:f>
              <c:strCache>
                <c:ptCount val="1"/>
                <c:pt idx="0">
                  <c:v>Неконтактні домогосподарства</c:v>
                </c:pt>
              </c:strCache>
            </c:strRef>
          </c:tx>
          <c:spPr>
            <a:pattFill prst="pct20">
              <a:fgClr>
                <a:schemeClr val="tx1"/>
              </a:fgClr>
              <a:bgClr>
                <a:schemeClr val="bg1"/>
              </a:bgClr>
            </a:pattFill>
            <a:ln w="12700">
              <a:solidFill>
                <a:schemeClr val="tx1"/>
              </a:solidFill>
            </a:ln>
            <a:effectLst>
              <a:softEdge rad="0"/>
            </a:effectLst>
          </c:spPr>
          <c:invertIfNegative val="0"/>
          <c:cat>
            <c:numRef>
              <c:f>Рис.2!$B$19:$B$31</c:f>
              <c:numCache>
                <c:formatCode>General</c:formatCode>
                <c:ptCount val="13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  <c:pt idx="8">
                  <c:v>2012</c:v>
                </c:pt>
                <c:pt idx="9">
                  <c:v>2013</c:v>
                </c:pt>
                <c:pt idx="10">
                  <c:v>2014</c:v>
                </c:pt>
                <c:pt idx="11">
                  <c:v>2015</c:v>
                </c:pt>
                <c:pt idx="12">
                  <c:v>2016</c:v>
                </c:pt>
              </c:numCache>
            </c:numRef>
          </c:cat>
          <c:val>
            <c:numRef>
              <c:f>Рис.2!$D$19:$D$31</c:f>
              <c:numCache>
                <c:formatCode>General</c:formatCode>
                <c:ptCount val="13"/>
                <c:pt idx="0">
                  <c:v>1.4</c:v>
                </c:pt>
                <c:pt idx="1">
                  <c:v>1.8</c:v>
                </c:pt>
                <c:pt idx="2">
                  <c:v>1.3</c:v>
                </c:pt>
                <c:pt idx="3">
                  <c:v>1.6</c:v>
                </c:pt>
                <c:pt idx="4">
                  <c:v>1.4</c:v>
                </c:pt>
                <c:pt idx="5">
                  <c:v>1.2</c:v>
                </c:pt>
                <c:pt idx="6">
                  <c:v>0.9</c:v>
                </c:pt>
                <c:pt idx="7">
                  <c:v>0.8</c:v>
                </c:pt>
                <c:pt idx="8">
                  <c:v>0.7</c:v>
                </c:pt>
                <c:pt idx="9">
                  <c:v>0.8</c:v>
                </c:pt>
                <c:pt idx="10">
                  <c:v>0.7</c:v>
                </c:pt>
                <c:pt idx="11">
                  <c:v>0.7</c:v>
                </c:pt>
                <c:pt idx="12">
                  <c:v>1.1000000000000001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60"/>
        <c:serLines/>
        <c:axId val="229668352"/>
        <c:axId val="153115392"/>
      </c:barChart>
      <c:catAx>
        <c:axId val="229668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uk-UA"/>
          </a:p>
        </c:txPr>
        <c:crossAx val="153115392"/>
        <c:crosses val="autoZero"/>
        <c:auto val="1"/>
        <c:lblAlgn val="ctr"/>
        <c:lblOffset val="100"/>
        <c:noMultiLvlLbl val="0"/>
      </c:catAx>
      <c:valAx>
        <c:axId val="153115392"/>
        <c:scaling>
          <c:orientation val="minMax"/>
          <c:max val="3"/>
        </c:scaling>
        <c:delete val="0"/>
        <c:axPos val="l"/>
        <c:majorGridlines>
          <c:spPr>
            <a:ln>
              <a:noFill/>
            </a:ln>
          </c:spPr>
        </c:majorGridlines>
        <c:numFmt formatCode="#,##0.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uk-UA"/>
          </a:p>
        </c:txPr>
        <c:crossAx val="22966835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5.4215957504517021E-2"/>
          <c:y val="0.86173077827637135"/>
          <c:w val="0.90251123872673811"/>
          <c:h val="0.11721526094888153"/>
        </c:manualLayout>
      </c:layout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uk-UA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0.05113</cdr:x>
      <cdr:y>0.00979</cdr:y>
    </cdr:from>
    <cdr:to>
      <cdr:x>0.09474</cdr:x>
      <cdr:y>0.10394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06331" y="26017"/>
          <a:ext cx="261278" cy="25020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uk-UA" sz="1100" b="1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CA060-675D-4212-82EA-0F7F2061D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9407</Words>
  <Characters>5363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Y.Emchenko</dc:creator>
  <cp:lastModifiedBy>Y.Emchenko</cp:lastModifiedBy>
  <cp:revision>7</cp:revision>
  <cp:lastPrinted>2016-11-09T12:36:00Z</cp:lastPrinted>
  <dcterms:created xsi:type="dcterms:W3CDTF">2016-11-10T10:20:00Z</dcterms:created>
  <dcterms:modified xsi:type="dcterms:W3CDTF">2016-11-10T11:08:00Z</dcterms:modified>
</cp:coreProperties>
</file>