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A9B1" w14:textId="77777777" w:rsidR="00072FF7" w:rsidRPr="00782CCD" w:rsidRDefault="00072FF7" w:rsidP="00796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2CCD"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Методологічні пояснення </w:t>
      </w:r>
      <w:bookmarkStart w:id="0" w:name="_GoBack"/>
      <w:bookmarkEnd w:id="0"/>
    </w:p>
    <w:p w14:paraId="0173A8F9" w14:textId="77777777" w:rsidR="00072FF7" w:rsidRPr="00782CCD" w:rsidRDefault="00072FF7" w:rsidP="00796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lang w:eastAsia="uk-UA"/>
        </w:rPr>
      </w:pPr>
      <w:r w:rsidRPr="00782CC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 експериментального рахунку </w:t>
      </w:r>
      <w:r w:rsidRPr="00782CCD">
        <w:rPr>
          <w:rFonts w:ascii="Times New Roman" w:hAnsi="Times New Roman"/>
          <w:b/>
          <w:iCs/>
          <w:color w:val="000000"/>
          <w:sz w:val="28"/>
          <w:szCs w:val="28"/>
          <w:lang w:eastAsia="uk-UA"/>
        </w:rPr>
        <w:t>охорони здоров'я</w:t>
      </w:r>
    </w:p>
    <w:p w14:paraId="4D25F860" w14:textId="77777777" w:rsidR="00072FF7" w:rsidRDefault="00072FF7" w:rsidP="00B16A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 xml:space="preserve"> </w:t>
      </w:r>
    </w:p>
    <w:p w14:paraId="44B66340" w14:textId="38C4907E" w:rsidR="00072FF7" w:rsidRPr="00FF0087" w:rsidRDefault="00072FF7" w:rsidP="002B5401">
      <w:pPr>
        <w:shd w:val="clear" w:color="auto" w:fill="FFFFFF"/>
        <w:spacing w:after="0" w:line="322" w:lineRule="exact"/>
        <w:ind w:right="19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2CCE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кспериментальний</w:t>
      </w:r>
      <w:r w:rsidRPr="00B462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F00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рахунок охорони здоров’я є спеціальною структурою обліку у форматі двомірних таблиць, які відображають </w:t>
      </w:r>
      <w:r w:rsidRPr="0017223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FF00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себічну інформацію про використання товарів і послуг </w:t>
      </w:r>
      <w:r w:rsidRPr="0017223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FF00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національній систем</w:t>
      </w:r>
      <w:r w:rsidRPr="0017223E"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r w:rsidRPr="00FF00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охорони здоров'я на основі  міжнародної системи рахунків охорони здоров’я</w:t>
      </w:r>
      <w:r w:rsidR="001A5D8E" w:rsidRPr="001A5D8E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Pr="00FF00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FF0087">
        <w:rPr>
          <w:rFonts w:ascii="Times New Roman" w:hAnsi="Times New Roman"/>
          <w:color w:val="000000"/>
          <w:sz w:val="28"/>
          <w:szCs w:val="28"/>
          <w:lang w:val="en-US" w:eastAsia="ru-RU"/>
        </w:rPr>
        <w:t>SHA</w:t>
      </w:r>
      <w:r w:rsidRPr="00FF00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2011), адаптованих до національних умов </w:t>
      </w:r>
      <w:r w:rsidRPr="0017223E"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r w:rsidRPr="00FF00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визначень.</w:t>
      </w:r>
    </w:p>
    <w:p w14:paraId="240A7487" w14:textId="1C4E6B51" w:rsidR="00072FF7" w:rsidRPr="00782CCD" w:rsidRDefault="00072FF7" w:rsidP="002B5401">
      <w:pPr>
        <w:shd w:val="clear" w:color="auto" w:fill="FFFFFF"/>
        <w:spacing w:after="0" w:line="322" w:lineRule="exact"/>
        <w:ind w:right="19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FF0087">
        <w:rPr>
          <w:rFonts w:ascii="Times New Roman" w:hAnsi="Times New Roman"/>
          <w:sz w:val="28"/>
          <w:szCs w:val="28"/>
          <w:lang w:eastAsia="uk-UA"/>
        </w:rPr>
        <w:t>Угрупування, які використовуються для складання таблиць рахунків охорони здоров’я,</w:t>
      </w:r>
      <w:r w:rsidRPr="00FF0087">
        <w:rPr>
          <w:rFonts w:ascii="Times New Roman" w:hAnsi="Times New Roman"/>
          <w:bCs/>
          <w:sz w:val="28"/>
          <w:szCs w:val="28"/>
          <w:lang w:eastAsia="uk-UA"/>
        </w:rPr>
        <w:t xml:space="preserve"> відповідають міжнародним класифікаціям відповідно до </w:t>
      </w:r>
      <w:r w:rsidRPr="00FF0087">
        <w:rPr>
          <w:rFonts w:ascii="Times New Roman" w:hAnsi="Times New Roman"/>
          <w:bCs/>
          <w:sz w:val="28"/>
          <w:szCs w:val="28"/>
          <w:lang w:val="en-US" w:eastAsia="uk-UA"/>
        </w:rPr>
        <w:t>SHA</w:t>
      </w:r>
      <w:r w:rsidRPr="00FF0087">
        <w:rPr>
          <w:rFonts w:ascii="Times New Roman" w:hAnsi="Times New Roman"/>
          <w:bCs/>
          <w:sz w:val="28"/>
          <w:szCs w:val="28"/>
          <w:lang w:eastAsia="uk-UA"/>
        </w:rPr>
        <w:t xml:space="preserve"> 2011 і </w:t>
      </w:r>
      <w:r w:rsidRPr="00FF0087">
        <w:rPr>
          <w:rFonts w:ascii="Times New Roman" w:hAnsi="Times New Roman"/>
          <w:sz w:val="28"/>
          <w:szCs w:val="28"/>
          <w:lang w:eastAsia="uk-UA"/>
        </w:rPr>
        <w:t xml:space="preserve"> представлені в додатку. </w:t>
      </w:r>
      <w:r w:rsidRPr="00FF0087">
        <w:rPr>
          <w:rFonts w:ascii="Times New Roman" w:hAnsi="Times New Roman"/>
          <w:bCs/>
          <w:sz w:val="28"/>
          <w:szCs w:val="28"/>
          <w:lang w:eastAsia="uk-UA"/>
        </w:rPr>
        <w:t xml:space="preserve">Усі учасники системи охорони здоров'я </w:t>
      </w:r>
      <w:r w:rsidR="00782CCD" w:rsidRPr="00FF0087">
        <w:rPr>
          <w:rFonts w:ascii="Times New Roman" w:hAnsi="Times New Roman"/>
          <w:bCs/>
          <w:sz w:val="28"/>
          <w:szCs w:val="28"/>
          <w:lang w:eastAsia="uk-UA"/>
        </w:rPr>
        <w:t>наведені</w:t>
      </w:r>
      <w:r w:rsidRPr="00FF0087">
        <w:rPr>
          <w:rFonts w:ascii="Times New Roman" w:hAnsi="Times New Roman"/>
          <w:bCs/>
          <w:sz w:val="28"/>
          <w:szCs w:val="28"/>
          <w:lang w:eastAsia="uk-UA"/>
        </w:rPr>
        <w:t xml:space="preserve"> за </w:t>
      </w:r>
      <w:r w:rsidRPr="00782CCD">
        <w:rPr>
          <w:rFonts w:ascii="Times New Roman" w:hAnsi="Times New Roman"/>
          <w:bCs/>
          <w:sz w:val="28"/>
          <w:szCs w:val="28"/>
          <w:lang w:eastAsia="uk-UA"/>
        </w:rPr>
        <w:t>допомогою літерно-цифрового коду та повної назви відповідної підкатегорії угрупувань.</w:t>
      </w:r>
    </w:p>
    <w:p w14:paraId="4025368F" w14:textId="01CB1682" w:rsidR="00072FF7" w:rsidRPr="00782CCD" w:rsidRDefault="00072FF7" w:rsidP="002B54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2C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За результатами експериментального рахунку формуються </w:t>
      </w:r>
      <w:r w:rsidRPr="00782CCD">
        <w:rPr>
          <w:rFonts w:ascii="Times New Roman" w:hAnsi="Times New Roman"/>
          <w:bCs/>
          <w:color w:val="000000"/>
          <w:sz w:val="28"/>
          <w:szCs w:val="28"/>
          <w:lang w:eastAsia="uk-UA"/>
        </w:rPr>
        <w:t>показники: поточні витрати на товари і послуги охорону</w:t>
      </w:r>
      <w:r w:rsidRPr="00782C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здоров’я</w:t>
      </w:r>
      <w:r w:rsidRPr="00782CCD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Pr="00782CCD">
        <w:rPr>
          <w:rFonts w:ascii="Times New Roman" w:hAnsi="Times New Roman"/>
          <w:bCs/>
          <w:sz w:val="28"/>
          <w:szCs w:val="28"/>
          <w:lang w:eastAsia="uk-UA"/>
        </w:rPr>
        <w:t xml:space="preserve">за функціями охорони здоров’я та схемами фінансування; за функціями охорони здоров’я та постачальниками медичних послуг; </w:t>
      </w:r>
      <w:r w:rsidRPr="00782CCD">
        <w:rPr>
          <w:rFonts w:ascii="Times New Roman" w:hAnsi="Times New Roman"/>
          <w:bCs/>
          <w:color w:val="000000"/>
          <w:sz w:val="28"/>
          <w:szCs w:val="28"/>
        </w:rPr>
        <w:t xml:space="preserve">за схемами фінансування та постачальниками медичних послуг); валове нагромадження капіталу в системі охорони здоров’я (за </w:t>
      </w:r>
      <w:r w:rsidR="00E42C58">
        <w:rPr>
          <w:rFonts w:ascii="Times New Roman" w:hAnsi="Times New Roman"/>
          <w:bCs/>
          <w:color w:val="000000"/>
          <w:sz w:val="28"/>
          <w:szCs w:val="28"/>
        </w:rPr>
        <w:t>джерелами фінансування</w:t>
      </w:r>
      <w:r w:rsidRPr="00782CCD">
        <w:rPr>
          <w:rFonts w:ascii="Times New Roman" w:hAnsi="Times New Roman"/>
          <w:bCs/>
          <w:color w:val="000000"/>
          <w:sz w:val="28"/>
          <w:szCs w:val="28"/>
        </w:rPr>
        <w:t>), визначення яких наведено нижче.</w:t>
      </w:r>
    </w:p>
    <w:p w14:paraId="6EAAEBC8" w14:textId="625F0E67" w:rsidR="00072FF7" w:rsidRPr="00782CCD" w:rsidRDefault="00072FF7" w:rsidP="002B5401">
      <w:pPr>
        <w:tabs>
          <w:tab w:val="left" w:pos="851"/>
          <w:tab w:val="left" w:pos="1049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82CCD">
        <w:rPr>
          <w:rFonts w:ascii="Times New Roman" w:hAnsi="Times New Roman"/>
          <w:bCs/>
          <w:sz w:val="28"/>
          <w:szCs w:val="28"/>
          <w:lang w:eastAsia="uk-UA"/>
        </w:rPr>
        <w:t>Поточні витрати на товари і послуги охорони здоров’я – </w:t>
      </w:r>
      <w:r w:rsidRPr="00782CCD">
        <w:rPr>
          <w:rFonts w:ascii="Times New Roman" w:hAnsi="Times New Roman"/>
          <w:sz w:val="28"/>
          <w:szCs w:val="28"/>
          <w:lang w:eastAsia="uk-UA"/>
        </w:rPr>
        <w:t>витрати </w:t>
      </w:r>
      <w:r w:rsidRPr="00782CCD">
        <w:rPr>
          <w:rFonts w:ascii="Times New Roman" w:hAnsi="Times New Roman"/>
          <w:bCs/>
          <w:sz w:val="28"/>
          <w:szCs w:val="28"/>
          <w:lang w:eastAsia="uk-UA"/>
        </w:rPr>
        <w:t xml:space="preserve"> фінансових ресурсів, виражених у грошовій формі, для здійснення діяльності у сфері  охорони здоров’я, наприклад: оплата за медичні послуги, </w:t>
      </w:r>
      <w:r w:rsidR="00782CCD" w:rsidRPr="00782CCD">
        <w:rPr>
          <w:rFonts w:ascii="Times New Roman" w:hAnsi="Times New Roman"/>
          <w:bCs/>
          <w:sz w:val="28"/>
          <w:szCs w:val="28"/>
          <w:lang w:eastAsia="uk-UA"/>
        </w:rPr>
        <w:t>оренда</w:t>
      </w:r>
      <w:r w:rsidRPr="00782CCD">
        <w:rPr>
          <w:rFonts w:ascii="Times New Roman" w:hAnsi="Times New Roman"/>
          <w:bCs/>
          <w:sz w:val="28"/>
          <w:szCs w:val="28"/>
          <w:lang w:eastAsia="uk-UA"/>
        </w:rPr>
        <w:t xml:space="preserve"> будівель, витрати на витратні  матеріали, трудові </w:t>
      </w:r>
      <w:r w:rsidRPr="00782CCD">
        <w:rPr>
          <w:rFonts w:ascii="Times New Roman" w:hAnsi="Times New Roman"/>
          <w:sz w:val="28"/>
          <w:szCs w:val="28"/>
          <w:lang w:eastAsia="uk-UA"/>
        </w:rPr>
        <w:t>витрати (оплата праці медичних працівників), а також непрямі витрати на управління та обслуговування в системі охорони здоров’я.</w:t>
      </w:r>
    </w:p>
    <w:p w14:paraId="2E243DB6" w14:textId="77777777" w:rsidR="00072FF7" w:rsidRDefault="00072FF7" w:rsidP="002B5401">
      <w:pPr>
        <w:tabs>
          <w:tab w:val="left" w:pos="851"/>
          <w:tab w:val="left" w:pos="1049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82CCD">
        <w:rPr>
          <w:rFonts w:ascii="Times New Roman" w:hAnsi="Times New Roman"/>
          <w:bCs/>
          <w:color w:val="000000"/>
          <w:sz w:val="28"/>
          <w:szCs w:val="28"/>
          <w:lang w:eastAsia="uk-UA"/>
        </w:rPr>
        <w:t>Валове нагромадження капіталу в системі охорони здоров</w:t>
      </w:r>
      <w:r w:rsidRPr="00782CCD">
        <w:rPr>
          <w:rFonts w:ascii="Times New Roman" w:hAnsi="Times New Roman"/>
          <w:color w:val="000000"/>
          <w:sz w:val="28"/>
          <w:szCs w:val="28"/>
          <w:lang w:eastAsia="uk-UA"/>
        </w:rPr>
        <w:t>'я –  сукупний показник, який вимірюється як сума витрат трьох складових</w:t>
      </w:r>
      <w:r w:rsidRPr="00014B58">
        <w:rPr>
          <w:rFonts w:ascii="Times New Roman" w:hAnsi="Times New Roman"/>
          <w:color w:val="000000"/>
          <w:sz w:val="28"/>
          <w:szCs w:val="28"/>
          <w:lang w:eastAsia="uk-UA"/>
        </w:rPr>
        <w:t>: валове нагромадження основного капіталу (витрати на</w:t>
      </w:r>
      <w:r w:rsidRPr="0075584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капітальне будівництво, машини, обладнання, інструмент, інвентар, транспортні засоби та інші основні засоби, існуючі будівлі та споруди, нові будівлі</w:t>
      </w:r>
      <w:r w:rsidRPr="00014B5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</w:t>
      </w:r>
      <w:r w:rsidRPr="0075584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споруди, об’єкти незавершеного будівництва, капітальний ремонт та інші необоротні матеріальні активи</w:t>
      </w:r>
      <w:r w:rsidRPr="00014B58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14B58">
        <w:rPr>
          <w:rFonts w:ascii="Times New Roman" w:hAnsi="Times New Roman"/>
          <w:color w:val="000000"/>
          <w:sz w:val="28"/>
          <w:szCs w:val="28"/>
          <w:lang w:eastAsia="uk-UA"/>
        </w:rPr>
        <w:t>зміни в матеріально-товарних запасах (наприклад, зміна запасів вакцин);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14B5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придбання за мінусом вибуття матеріальних цінностей (придбання </w:t>
      </w:r>
      <w:r w:rsidRPr="002B540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або створення власними силами </w:t>
      </w:r>
      <w:r w:rsidRPr="00014B58">
        <w:rPr>
          <w:rFonts w:ascii="Times New Roman" w:hAnsi="Times New Roman"/>
          <w:color w:val="000000"/>
          <w:sz w:val="28"/>
          <w:szCs w:val="28"/>
          <w:lang w:eastAsia="uk-UA"/>
        </w:rPr>
        <w:t>програмного забезпечення,</w:t>
      </w:r>
      <w:r w:rsidRPr="002B540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баз даних, с</w:t>
      </w:r>
      <w:r w:rsidRPr="00014B58">
        <w:rPr>
          <w:rFonts w:ascii="Times New Roman" w:hAnsi="Times New Roman"/>
          <w:color w:val="000000"/>
          <w:sz w:val="28"/>
          <w:szCs w:val="28"/>
          <w:lang w:eastAsia="uk-UA"/>
        </w:rPr>
        <w:t>писання застарілого медичного обладнання)</w:t>
      </w:r>
      <w:r w:rsidRPr="002B5401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F6031E1" w14:textId="06501471" w:rsidR="00072FF7" w:rsidRPr="00782CCD" w:rsidRDefault="00072FF7" w:rsidP="002B5401">
      <w:pPr>
        <w:tabs>
          <w:tab w:val="left" w:pos="851"/>
          <w:tab w:val="left" w:pos="1049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82CCD">
        <w:rPr>
          <w:rFonts w:ascii="Times New Roman" w:hAnsi="Times New Roman"/>
          <w:sz w:val="28"/>
          <w:szCs w:val="28"/>
          <w:lang w:eastAsia="uk-UA"/>
        </w:rPr>
        <w:t>Джерелами даних для е</w:t>
      </w:r>
      <w:r w:rsidR="00782CCD" w:rsidRPr="00782CCD">
        <w:rPr>
          <w:rFonts w:ascii="Times New Roman" w:hAnsi="Times New Roman"/>
          <w:sz w:val="28"/>
          <w:szCs w:val="28"/>
          <w:lang w:eastAsia="uk-UA"/>
        </w:rPr>
        <w:t>к</w:t>
      </w:r>
      <w:r w:rsidRPr="00782CCD">
        <w:rPr>
          <w:rFonts w:ascii="Times New Roman" w:hAnsi="Times New Roman"/>
          <w:sz w:val="28"/>
          <w:szCs w:val="28"/>
          <w:lang w:eastAsia="uk-UA"/>
        </w:rPr>
        <w:t>спериментального рахунку охорони здоров’я є інформація, отримана на підставі державних статистичних спост</w:t>
      </w:r>
      <w:r w:rsidR="00782CCD">
        <w:rPr>
          <w:rFonts w:ascii="Times New Roman" w:hAnsi="Times New Roman"/>
          <w:sz w:val="28"/>
          <w:szCs w:val="28"/>
          <w:lang w:eastAsia="uk-UA"/>
        </w:rPr>
        <w:t>е</w:t>
      </w:r>
      <w:r w:rsidRPr="00782CCD">
        <w:rPr>
          <w:rFonts w:ascii="Times New Roman" w:hAnsi="Times New Roman"/>
          <w:sz w:val="28"/>
          <w:szCs w:val="28"/>
          <w:lang w:eastAsia="uk-UA"/>
        </w:rPr>
        <w:t>режень, та адміністративні дані.</w:t>
      </w:r>
    </w:p>
    <w:p w14:paraId="68665882" w14:textId="77777777" w:rsidR="00072FF7" w:rsidRPr="00782CCD" w:rsidRDefault="00072FF7" w:rsidP="000509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CCD">
        <w:rPr>
          <w:rFonts w:ascii="Times New Roman" w:hAnsi="Times New Roman"/>
          <w:sz w:val="28"/>
          <w:szCs w:val="28"/>
          <w:lang w:eastAsia="ru-RU"/>
        </w:rPr>
        <w:t>Формування експериментальних рахунків охорони здоров'я базується на таких принципах і підходах:</w:t>
      </w:r>
    </w:p>
    <w:p w14:paraId="395E4FEA" w14:textId="77777777" w:rsidR="00072FF7" w:rsidRDefault="00072FF7" w:rsidP="00DF01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в</w:t>
      </w:r>
      <w:r w:rsidRPr="00A60D7C">
        <w:rPr>
          <w:rFonts w:ascii="Times New Roman" w:hAnsi="Times New Roman"/>
          <w:sz w:val="28"/>
          <w:szCs w:val="28"/>
          <w:lang w:eastAsia="ru-RU"/>
        </w:rPr>
        <w:t>икорист</w:t>
      </w:r>
      <w:r>
        <w:rPr>
          <w:rFonts w:ascii="Times New Roman" w:hAnsi="Times New Roman"/>
          <w:sz w:val="28"/>
          <w:szCs w:val="28"/>
          <w:lang w:eastAsia="ru-RU"/>
        </w:rPr>
        <w:t>ання</w:t>
      </w:r>
      <w:r w:rsidRPr="00A60D7C">
        <w:rPr>
          <w:rFonts w:ascii="Times New Roman" w:hAnsi="Times New Roman"/>
          <w:sz w:val="28"/>
          <w:szCs w:val="28"/>
          <w:lang w:eastAsia="ru-RU"/>
        </w:rPr>
        <w:t xml:space="preserve"> наявн</w:t>
      </w:r>
      <w:r>
        <w:rPr>
          <w:rFonts w:ascii="Times New Roman" w:hAnsi="Times New Roman"/>
          <w:sz w:val="28"/>
          <w:szCs w:val="28"/>
          <w:lang w:eastAsia="ru-RU"/>
        </w:rPr>
        <w:t>ої</w:t>
      </w:r>
      <w:r w:rsidRPr="00A60D7C">
        <w:rPr>
          <w:rFonts w:ascii="Times New Roman" w:hAnsi="Times New Roman"/>
          <w:sz w:val="28"/>
          <w:szCs w:val="28"/>
          <w:lang w:eastAsia="ru-RU"/>
        </w:rPr>
        <w:t xml:space="preserve"> бази даних, наскільки це можливо, і уник</w:t>
      </w:r>
      <w:r>
        <w:rPr>
          <w:rFonts w:ascii="Times New Roman" w:hAnsi="Times New Roman"/>
          <w:sz w:val="28"/>
          <w:szCs w:val="28"/>
          <w:lang w:eastAsia="ru-RU"/>
        </w:rPr>
        <w:t>нення</w:t>
      </w:r>
      <w:r w:rsidRPr="00A60D7C">
        <w:rPr>
          <w:rFonts w:ascii="Times New Roman" w:hAnsi="Times New Roman"/>
          <w:sz w:val="28"/>
          <w:szCs w:val="28"/>
          <w:lang w:eastAsia="ru-RU"/>
        </w:rPr>
        <w:t xml:space="preserve"> створення нового потоку даних лише для </w:t>
      </w:r>
      <w:r>
        <w:rPr>
          <w:rFonts w:ascii="Times New Roman" w:hAnsi="Times New Roman"/>
          <w:sz w:val="28"/>
          <w:szCs w:val="28"/>
          <w:lang w:eastAsia="ru-RU"/>
        </w:rPr>
        <w:t>рахунків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A97FF7">
        <w:rPr>
          <w:rFonts w:ascii="Times New Roman" w:hAnsi="Times New Roman"/>
          <w:sz w:val="28"/>
          <w:szCs w:val="28"/>
          <w:lang w:eastAsia="ru-RU"/>
        </w:rPr>
        <w:t>охорони здоров</w:t>
      </w:r>
      <w:r w:rsidRPr="008E4261">
        <w:rPr>
          <w:rFonts w:ascii="Times New Roman" w:hAnsi="Times New Roman"/>
          <w:sz w:val="28"/>
          <w:szCs w:val="28"/>
          <w:lang w:eastAsia="ru-RU"/>
        </w:rPr>
        <w:t>'</w:t>
      </w:r>
      <w:r w:rsidRPr="00A97FF7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722C91EE" w14:textId="77777777" w:rsidR="00072FF7" w:rsidRPr="00B713BE" w:rsidRDefault="00072FF7" w:rsidP="000361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13BE">
        <w:rPr>
          <w:rFonts w:ascii="Times New Roman" w:hAnsi="Times New Roman"/>
          <w:sz w:val="28"/>
          <w:szCs w:val="28"/>
          <w:lang w:val="ru-RU" w:eastAsia="ru-RU"/>
        </w:rPr>
        <w:t xml:space="preserve">– </w:t>
      </w:r>
      <w:r w:rsidRPr="00B713BE">
        <w:rPr>
          <w:rFonts w:ascii="Times New Roman" w:hAnsi="Times New Roman"/>
          <w:sz w:val="28"/>
          <w:szCs w:val="28"/>
          <w:lang w:eastAsia="ru-RU"/>
        </w:rPr>
        <w:t xml:space="preserve">збір </w:t>
      </w:r>
      <w:r w:rsidRPr="00782CCD">
        <w:rPr>
          <w:rFonts w:ascii="Times New Roman" w:hAnsi="Times New Roman"/>
          <w:sz w:val="28"/>
          <w:szCs w:val="28"/>
          <w:lang w:eastAsia="ru-RU"/>
        </w:rPr>
        <w:t xml:space="preserve">даних </w:t>
      </w:r>
      <w:r w:rsidRPr="00B713BE">
        <w:rPr>
          <w:rFonts w:ascii="Times New Roman" w:hAnsi="Times New Roman"/>
          <w:sz w:val="28"/>
          <w:szCs w:val="28"/>
          <w:lang w:val="ru-RU" w:eastAsia="ru-RU"/>
        </w:rPr>
        <w:t>у</w:t>
      </w:r>
      <w:r w:rsidRPr="00B713BE">
        <w:rPr>
          <w:rFonts w:ascii="Times New Roman" w:hAnsi="Times New Roman"/>
          <w:sz w:val="28"/>
          <w:szCs w:val="28"/>
          <w:lang w:eastAsia="ru-RU"/>
        </w:rPr>
        <w:t xml:space="preserve"> незмінному вигляді</w:t>
      </w:r>
      <w:r w:rsidRPr="00B713BE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B713BE">
        <w:rPr>
          <w:rFonts w:ascii="Times New Roman" w:hAnsi="Times New Roman"/>
          <w:sz w:val="28"/>
          <w:szCs w:val="28"/>
          <w:lang w:eastAsia="ru-RU"/>
        </w:rPr>
        <w:t xml:space="preserve"> що полегшує навантаження на джерела інформації </w:t>
      </w:r>
      <w:r w:rsidRPr="00B713BE">
        <w:rPr>
          <w:rFonts w:ascii="Times New Roman" w:hAnsi="Times New Roman"/>
          <w:sz w:val="28"/>
          <w:szCs w:val="28"/>
          <w:lang w:val="ru-RU" w:eastAsia="ru-RU"/>
        </w:rPr>
        <w:t>та</w:t>
      </w:r>
      <w:r w:rsidRPr="00B713BE">
        <w:rPr>
          <w:rFonts w:ascii="Times New Roman" w:hAnsi="Times New Roman"/>
          <w:sz w:val="28"/>
          <w:szCs w:val="28"/>
          <w:lang w:eastAsia="ru-RU"/>
        </w:rPr>
        <w:t xml:space="preserve"> знижує ймовірність помилок при обробці даних;</w:t>
      </w:r>
    </w:p>
    <w:p w14:paraId="32E75411" w14:textId="77777777" w:rsidR="00072FF7" w:rsidRPr="00B713BE" w:rsidRDefault="00072FF7" w:rsidP="00B224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713BE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– мінімізація необхідності ручної обробки даних </w:t>
      </w:r>
      <w:r w:rsidRPr="00B713BE">
        <w:rPr>
          <w:rFonts w:ascii="Times New Roman" w:hAnsi="Times New Roman"/>
          <w:sz w:val="28"/>
          <w:szCs w:val="28"/>
          <w:lang w:val="ru-RU" w:eastAsia="ru-RU"/>
        </w:rPr>
        <w:t>у</w:t>
      </w:r>
      <w:r w:rsidRPr="00B713BE">
        <w:rPr>
          <w:rFonts w:ascii="Times New Roman" w:hAnsi="Times New Roman"/>
          <w:sz w:val="28"/>
          <w:szCs w:val="28"/>
          <w:lang w:eastAsia="ru-RU"/>
        </w:rPr>
        <w:t xml:space="preserve"> процесі підготовки статистичної інформації</w:t>
      </w:r>
      <w:r w:rsidRPr="00B713BE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6F90ECB6" w14:textId="6AFE43B3" w:rsidR="00072FF7" w:rsidRPr="00AD32AA" w:rsidRDefault="00072FF7" w:rsidP="00A10F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vertAlign w:val="subscript"/>
        </w:rPr>
      </w:pPr>
      <w:r w:rsidRPr="00B713BE">
        <w:rPr>
          <w:rFonts w:ascii="Times New Roman" w:hAnsi="Times New Roman"/>
          <w:sz w:val="28"/>
          <w:szCs w:val="28"/>
          <w:lang w:eastAsia="ru-RU"/>
        </w:rPr>
        <w:t xml:space="preserve">Процес обробки отриманих </w:t>
      </w:r>
      <w:r w:rsidRPr="00B713BE">
        <w:rPr>
          <w:rFonts w:ascii="Times New Roman" w:hAnsi="Times New Roman"/>
          <w:sz w:val="28"/>
          <w:szCs w:val="28"/>
          <w:lang w:val="ru-RU" w:eastAsia="ru-RU"/>
        </w:rPr>
        <w:t>і</w:t>
      </w:r>
      <w:r w:rsidRPr="00B713BE">
        <w:rPr>
          <w:rFonts w:ascii="Times New Roman" w:hAnsi="Times New Roman"/>
          <w:sz w:val="28"/>
          <w:szCs w:val="28"/>
          <w:lang w:eastAsia="ru-RU"/>
        </w:rPr>
        <w:t>з різних джерел даних максимально автоматизований і проводиться за допомогою спеціальних програмних інструментів</w:t>
      </w:r>
      <w:r w:rsidRPr="00B713BE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B713BE">
        <w:rPr>
          <w:rFonts w:ascii="Times New Roman" w:hAnsi="Times New Roman"/>
          <w:sz w:val="28"/>
          <w:szCs w:val="28"/>
          <w:lang w:eastAsia="ru-RU"/>
        </w:rPr>
        <w:t xml:space="preserve"> Зокрема</w:t>
      </w:r>
      <w:r w:rsidRPr="00B713BE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B713BE">
        <w:rPr>
          <w:rFonts w:ascii="Times New Roman" w:hAnsi="Times New Roman"/>
          <w:sz w:val="28"/>
          <w:szCs w:val="28"/>
          <w:lang w:eastAsia="ru-RU"/>
        </w:rPr>
        <w:t xml:space="preserve"> для підготовки зведених таблиць використовується програмне забезпечення, розроблене європейським офісом Всесвітньої організації охорони здоров’я (ВООЗ). Крім того, обробка інформації відбувається з використанням можливостей </w:t>
      </w:r>
      <w:r w:rsidRPr="001A389F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9375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389F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9375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389F">
        <w:rPr>
          <w:rFonts w:ascii="Times New Roman" w:hAnsi="Times New Roman"/>
          <w:sz w:val="28"/>
          <w:szCs w:val="28"/>
          <w:lang w:val="en-US" w:eastAsia="ru-RU"/>
        </w:rPr>
        <w:t>Power</w:t>
      </w:r>
      <w:r w:rsidRPr="009375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389F">
        <w:rPr>
          <w:rFonts w:ascii="Times New Roman" w:hAnsi="Times New Roman"/>
          <w:sz w:val="28"/>
          <w:szCs w:val="28"/>
          <w:lang w:val="en-US" w:eastAsia="ru-RU"/>
        </w:rPr>
        <w:t>Query</w:t>
      </w:r>
      <w:r w:rsidRPr="0093756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A389F">
        <w:rPr>
          <w:rFonts w:ascii="Times New Roman" w:hAnsi="Times New Roman"/>
          <w:sz w:val="28"/>
          <w:szCs w:val="28"/>
          <w:lang w:val="en-US" w:eastAsia="ru-RU"/>
        </w:rPr>
        <w:t>M</w:t>
      </w:r>
      <w:r w:rsidRPr="0093756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1A389F" w:rsidRPr="001A389F">
        <w:rPr>
          <w:rFonts w:ascii="Times New Roman" w:hAnsi="Times New Roman"/>
          <w:sz w:val="28"/>
          <w:szCs w:val="28"/>
          <w:lang w:val="en-US" w:eastAsia="ru-RU"/>
        </w:rPr>
        <w:t>Language</w:t>
      </w:r>
      <w:r w:rsidRPr="0093756C">
        <w:rPr>
          <w:rFonts w:ascii="Times New Roman" w:hAnsi="Times New Roman"/>
          <w:sz w:val="28"/>
          <w:szCs w:val="28"/>
          <w:lang w:eastAsia="ru-RU"/>
        </w:rPr>
        <w:t>)</w:t>
      </w:r>
      <w:r w:rsidRPr="00B713BE">
        <w:rPr>
          <w:rFonts w:ascii="Times New Roman" w:hAnsi="Times New Roman"/>
          <w:sz w:val="28"/>
          <w:szCs w:val="28"/>
          <w:lang w:eastAsia="ru-RU"/>
        </w:rPr>
        <w:t xml:space="preserve"> та спеціального програмного забезпечення.</w:t>
      </w:r>
      <w:r w:rsidRPr="00AD32A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5D5E879" w14:textId="77777777" w:rsidR="00072FF7" w:rsidRPr="00AD32AA" w:rsidRDefault="00072FF7" w:rsidP="00274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7F8349A" w14:textId="77777777" w:rsidR="001A5D8E" w:rsidRDefault="001A5D8E" w:rsidP="001220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</w:t>
      </w:r>
    </w:p>
    <w:p w14:paraId="2D2A0FA8" w14:textId="0C3A9B92" w:rsidR="001A389F" w:rsidRPr="001277B7" w:rsidRDefault="001A5D8E" w:rsidP="001220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A389F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1277B7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 xml:space="preserve"> </w:t>
      </w:r>
      <w:r w:rsidR="001277B7">
        <w:rPr>
          <w:rFonts w:ascii="Times New Roman" w:hAnsi="Times New Roman"/>
          <w:sz w:val="28"/>
          <w:szCs w:val="28"/>
          <w:lang w:val="en-US" w:eastAsia="ru-RU"/>
        </w:rPr>
        <w:t>-</w:t>
      </w:r>
      <w:r w:rsidRPr="001A389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277B7">
        <w:rPr>
          <w:rFonts w:ascii="Times New Roman" w:hAnsi="Times New Roman"/>
          <w:sz w:val="24"/>
          <w:szCs w:val="24"/>
          <w:lang w:val="en-US" w:eastAsia="ru-RU"/>
        </w:rPr>
        <w:t>A System of Health Accounts 2011</w:t>
      </w:r>
      <w:r w:rsidR="00A80141" w:rsidRPr="001277B7">
        <w:rPr>
          <w:rFonts w:ascii="Times New Roman" w:hAnsi="Times New Roman"/>
          <w:sz w:val="24"/>
          <w:szCs w:val="24"/>
          <w:lang w:val="en-US" w:eastAsia="ru-RU"/>
        </w:rPr>
        <w:t xml:space="preserve"> (OECD, European Union, World Health Organization)</w:t>
      </w:r>
    </w:p>
    <w:p w14:paraId="1A44223B" w14:textId="211C25B5" w:rsidR="00072FF7" w:rsidRPr="001A389F" w:rsidRDefault="0093756C" w:rsidP="001220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history="1">
        <w:r w:rsidR="001A389F" w:rsidRPr="001277B7">
          <w:rPr>
            <w:rFonts w:ascii="Times New Roman" w:hAnsi="Times New Roman"/>
            <w:sz w:val="24"/>
            <w:szCs w:val="24"/>
            <w:lang w:val="en-US"/>
          </w:rPr>
          <w:t>https</w:t>
        </w:r>
        <w:r w:rsidR="001A389F" w:rsidRPr="0093756C">
          <w:rPr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1A389F" w:rsidRPr="001277B7">
          <w:rPr>
            <w:rFonts w:ascii="Times New Roman" w:hAnsi="Times New Roman"/>
            <w:sz w:val="24"/>
            <w:szCs w:val="24"/>
            <w:lang w:val="en-US"/>
          </w:rPr>
          <w:t>doi</w:t>
        </w:r>
        <w:proofErr w:type="spellEnd"/>
        <w:r w:rsidR="001A389F" w:rsidRPr="0093756C">
          <w:rPr>
            <w:rFonts w:ascii="Times New Roman" w:hAnsi="Times New Roman"/>
            <w:sz w:val="24"/>
            <w:szCs w:val="24"/>
            <w:lang w:val="ru-RU"/>
          </w:rPr>
          <w:t>.</w:t>
        </w:r>
        <w:r w:rsidR="001A389F" w:rsidRPr="001277B7">
          <w:rPr>
            <w:rFonts w:ascii="Times New Roman" w:hAnsi="Times New Roman"/>
            <w:sz w:val="24"/>
            <w:szCs w:val="24"/>
            <w:lang w:val="en-US"/>
          </w:rPr>
          <w:t>org</w:t>
        </w:r>
        <w:r w:rsidR="001A389F" w:rsidRPr="0093756C">
          <w:rPr>
            <w:rFonts w:ascii="Times New Roman" w:hAnsi="Times New Roman"/>
            <w:sz w:val="24"/>
            <w:szCs w:val="24"/>
            <w:lang w:val="ru-RU"/>
          </w:rPr>
          <w:t>/10.1787/9789264270985-</w:t>
        </w:r>
        <w:proofErr w:type="spellStart"/>
        <w:r w:rsidR="001A389F" w:rsidRPr="001277B7">
          <w:rPr>
            <w:rFonts w:ascii="Times New Roman" w:hAnsi="Times New Roman"/>
            <w:sz w:val="24"/>
            <w:szCs w:val="24"/>
            <w:lang w:val="en-US"/>
          </w:rPr>
          <w:t>en</w:t>
        </w:r>
        <w:proofErr w:type="spellEnd"/>
      </w:hyperlink>
      <w:r w:rsidR="001A389F" w:rsidRPr="001A389F">
        <w:rPr>
          <w:rFonts w:ascii="Times New Roman" w:hAnsi="Times New Roman"/>
          <w:sz w:val="27"/>
          <w:szCs w:val="27"/>
        </w:rPr>
        <w:t>.</w:t>
      </w:r>
      <w:r w:rsidR="00072FF7" w:rsidRPr="001A389F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42E1F4B8" w14:textId="77777777" w:rsidR="00072FF7" w:rsidRDefault="00072FF7" w:rsidP="002F248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Додаток</w:t>
      </w:r>
    </w:p>
    <w:p w14:paraId="71761507" w14:textId="77777777" w:rsidR="00072FF7" w:rsidRDefault="00072FF7" w:rsidP="002F2489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 методологічних пояснень</w:t>
      </w:r>
    </w:p>
    <w:p w14:paraId="5A1193BE" w14:textId="77777777" w:rsidR="00072FF7" w:rsidRPr="00F7026F" w:rsidRDefault="00072FF7" w:rsidP="00F702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F5DD6EF" w14:textId="77777777" w:rsidR="00072FF7" w:rsidRDefault="00072FF7" w:rsidP="002F2489">
      <w:pPr>
        <w:keepNext/>
        <w:spacing w:after="0" w:line="240" w:lineRule="auto"/>
        <w:jc w:val="center"/>
        <w:outlineLvl w:val="1"/>
        <w:rPr>
          <w:rFonts w:ascii="Times New Roman" w:hAnsi="Times New Roman" w:cs="Mangal"/>
          <w:b/>
          <w:sz w:val="28"/>
          <w:szCs w:val="28"/>
          <w:lang w:eastAsia="ru-RU" w:bidi="hi-IN"/>
        </w:rPr>
      </w:pPr>
      <w:r>
        <w:rPr>
          <w:rFonts w:ascii="Times New Roman" w:hAnsi="Times New Roman" w:cs="Mangal"/>
          <w:b/>
          <w:sz w:val="28"/>
          <w:szCs w:val="28"/>
          <w:lang w:eastAsia="ru-RU" w:bidi="hi-IN"/>
        </w:rPr>
        <w:t>Угрупування, які використовуються для складання</w:t>
      </w:r>
      <w:r w:rsidRPr="0050003A">
        <w:rPr>
          <w:rFonts w:ascii="Times New Roman" w:hAnsi="Times New Roman" w:cs="Mangal"/>
          <w:b/>
          <w:sz w:val="28"/>
          <w:szCs w:val="28"/>
          <w:lang w:eastAsia="ru-RU" w:bidi="hi-IN"/>
        </w:rPr>
        <w:t xml:space="preserve"> </w:t>
      </w:r>
    </w:p>
    <w:p w14:paraId="7E0B72C6" w14:textId="77777777" w:rsidR="00072FF7" w:rsidRPr="00B10B60" w:rsidRDefault="00072FF7" w:rsidP="002F2489">
      <w:pPr>
        <w:keepNext/>
        <w:spacing w:after="0" w:line="240" w:lineRule="auto"/>
        <w:jc w:val="center"/>
        <w:outlineLvl w:val="1"/>
        <w:rPr>
          <w:rFonts w:ascii="Times New Roman" w:hAnsi="Times New Roman" w:cs="Mangal"/>
          <w:b/>
          <w:sz w:val="28"/>
          <w:szCs w:val="28"/>
          <w:lang w:val="ru-RU" w:eastAsia="ru-RU" w:bidi="hi-IN"/>
        </w:rPr>
      </w:pPr>
      <w:r>
        <w:rPr>
          <w:rFonts w:ascii="Times New Roman" w:hAnsi="Times New Roman" w:cs="Mangal"/>
          <w:b/>
          <w:sz w:val="28"/>
          <w:szCs w:val="28"/>
          <w:lang w:eastAsia="ru-RU" w:bidi="hi-IN"/>
        </w:rPr>
        <w:t xml:space="preserve">експериментального </w:t>
      </w:r>
      <w:r w:rsidRPr="0050003A">
        <w:rPr>
          <w:rFonts w:ascii="Times New Roman" w:hAnsi="Times New Roman" w:cs="Mangal"/>
          <w:b/>
          <w:sz w:val="28"/>
          <w:szCs w:val="28"/>
          <w:lang w:eastAsia="ru-RU" w:bidi="hi-IN"/>
        </w:rPr>
        <w:t>рахунк</w:t>
      </w:r>
      <w:r>
        <w:rPr>
          <w:rFonts w:ascii="Times New Roman" w:hAnsi="Times New Roman" w:cs="Mangal"/>
          <w:b/>
          <w:sz w:val="28"/>
          <w:szCs w:val="28"/>
          <w:lang w:eastAsia="ru-RU" w:bidi="hi-IN"/>
        </w:rPr>
        <w:t>у</w:t>
      </w:r>
      <w:r w:rsidRPr="0050003A">
        <w:rPr>
          <w:rFonts w:ascii="Times New Roman" w:hAnsi="Times New Roman" w:cs="Mangal"/>
          <w:b/>
          <w:sz w:val="28"/>
          <w:szCs w:val="28"/>
          <w:lang w:eastAsia="ru-RU" w:bidi="hi-IN"/>
        </w:rPr>
        <w:t xml:space="preserve"> охорони здоров'я</w:t>
      </w:r>
    </w:p>
    <w:p w14:paraId="183F2220" w14:textId="77777777" w:rsidR="00072FF7" w:rsidRDefault="00072FF7" w:rsidP="002F2489">
      <w:pPr>
        <w:keepNext/>
        <w:spacing w:after="0" w:line="240" w:lineRule="auto"/>
        <w:jc w:val="center"/>
        <w:outlineLvl w:val="1"/>
        <w:rPr>
          <w:rFonts w:ascii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hAnsi="Times New Roman" w:cs="Mangal"/>
          <w:sz w:val="28"/>
          <w:szCs w:val="28"/>
          <w:lang w:eastAsia="ru-RU" w:bidi="hi-IN"/>
        </w:rPr>
        <w:t>(відповідно до Міжнародної</w:t>
      </w:r>
      <w:r w:rsidRPr="008E7AB6">
        <w:rPr>
          <w:rFonts w:ascii="Times New Roman" w:hAnsi="Times New Roman" w:cs="Mangal"/>
          <w:sz w:val="28"/>
          <w:szCs w:val="28"/>
          <w:lang w:eastAsia="ru-RU" w:bidi="hi-IN"/>
        </w:rPr>
        <w:t xml:space="preserve"> кл</w:t>
      </w:r>
      <w:r>
        <w:rPr>
          <w:rFonts w:ascii="Times New Roman" w:hAnsi="Times New Roman" w:cs="Mangal"/>
          <w:sz w:val="28"/>
          <w:szCs w:val="28"/>
          <w:lang w:eastAsia="ru-RU" w:bidi="hi-IN"/>
        </w:rPr>
        <w:t xml:space="preserve">асифікації </w:t>
      </w:r>
      <w:r>
        <w:rPr>
          <w:rFonts w:ascii="Times New Roman" w:hAnsi="Times New Roman" w:cs="Mangal"/>
          <w:sz w:val="28"/>
          <w:szCs w:val="28"/>
          <w:lang w:val="en-US" w:eastAsia="ru-RU" w:bidi="hi-IN"/>
        </w:rPr>
        <w:t>SHA</w:t>
      </w:r>
      <w:r w:rsidRPr="001F0C76">
        <w:rPr>
          <w:rFonts w:ascii="Times New Roman" w:hAnsi="Times New Roman" w:cs="Mangal"/>
          <w:sz w:val="28"/>
          <w:szCs w:val="28"/>
          <w:lang w:eastAsia="ru-RU" w:bidi="hi-IN"/>
        </w:rPr>
        <w:t xml:space="preserve"> 2011</w:t>
      </w:r>
      <w:r w:rsidRPr="008E7AB6">
        <w:rPr>
          <w:rFonts w:ascii="Times New Roman" w:hAnsi="Times New Roman" w:cs="Mangal"/>
          <w:sz w:val="28"/>
          <w:szCs w:val="28"/>
          <w:lang w:eastAsia="ru-RU" w:bidi="hi-IN"/>
        </w:rPr>
        <w:t>)</w:t>
      </w:r>
    </w:p>
    <w:p w14:paraId="490CD368" w14:textId="77777777" w:rsidR="00072FF7" w:rsidRDefault="00072FF7" w:rsidP="002F2489">
      <w:pPr>
        <w:keepNext/>
        <w:spacing w:after="0" w:line="240" w:lineRule="auto"/>
        <w:jc w:val="center"/>
        <w:outlineLvl w:val="1"/>
        <w:rPr>
          <w:rFonts w:ascii="Times New Roman" w:hAnsi="Times New Roman" w:cs="Mangal"/>
          <w:sz w:val="28"/>
          <w:szCs w:val="28"/>
          <w:lang w:eastAsia="ru-RU" w:bidi="hi-IN"/>
        </w:rPr>
      </w:pPr>
    </w:p>
    <w:p w14:paraId="0C1715F3" w14:textId="77777777" w:rsidR="00072FF7" w:rsidRPr="001E72A1" w:rsidRDefault="00072FF7" w:rsidP="00B10B60">
      <w:pPr>
        <w:spacing w:after="0" w:line="240" w:lineRule="auto"/>
        <w:rPr>
          <w:rFonts w:ascii="Times New Roman" w:hAnsi="Times New Roman" w:cs="Mangal"/>
          <w:sz w:val="28"/>
          <w:szCs w:val="28"/>
          <w:lang w:eastAsia="ru-RU" w:bidi="hi-IN"/>
        </w:rPr>
      </w:pPr>
      <w:r w:rsidRPr="003D516F">
        <w:rPr>
          <w:rFonts w:ascii="Times New Roman" w:hAnsi="Times New Roman" w:cs="Mangal"/>
          <w:sz w:val="28"/>
          <w:szCs w:val="28"/>
          <w:lang w:eastAsia="ru-RU" w:bidi="hi-IN"/>
        </w:rPr>
        <w:t>С</w:t>
      </w:r>
      <w:r w:rsidRPr="00FC0D7D">
        <w:rPr>
          <w:rFonts w:ascii="Times New Roman" w:hAnsi="Times New Roman" w:cs="Mangal"/>
          <w:sz w:val="28"/>
          <w:szCs w:val="28"/>
          <w:lang w:eastAsia="ru-RU" w:bidi="hi-IN"/>
        </w:rPr>
        <w:t>хем</w:t>
      </w:r>
      <w:r w:rsidRPr="003D516F">
        <w:rPr>
          <w:rFonts w:ascii="Times New Roman" w:hAnsi="Times New Roman" w:cs="Mangal"/>
          <w:sz w:val="28"/>
          <w:szCs w:val="28"/>
          <w:lang w:eastAsia="ru-RU" w:bidi="hi-IN"/>
        </w:rPr>
        <w:t>и</w:t>
      </w:r>
      <w:r w:rsidRPr="00FC0D7D">
        <w:rPr>
          <w:rFonts w:ascii="Times New Roman" w:hAnsi="Times New Roman" w:cs="Mangal"/>
          <w:sz w:val="28"/>
          <w:szCs w:val="28"/>
          <w:lang w:eastAsia="ru-RU" w:bidi="hi-IN"/>
        </w:rPr>
        <w:t xml:space="preserve"> фінансування охорони здоров'я</w:t>
      </w:r>
      <w:r>
        <w:rPr>
          <w:rFonts w:ascii="Times New Roman" w:hAnsi="Times New Roman" w:cs="Mangal"/>
          <w:sz w:val="28"/>
          <w:szCs w:val="28"/>
          <w:lang w:eastAsia="ru-RU" w:bidi="hi-IN"/>
        </w:rPr>
        <w:t xml:space="preserve"> </w:t>
      </w:r>
      <w:r w:rsidRPr="00926CB0">
        <w:rPr>
          <w:rFonts w:ascii="Times New Roman" w:hAnsi="Times New Roman" w:cs="Mangal"/>
          <w:sz w:val="28"/>
          <w:szCs w:val="28"/>
          <w:lang w:eastAsia="ru-RU" w:bidi="hi-IN"/>
        </w:rPr>
        <w:t>(HF)</w:t>
      </w:r>
    </w:p>
    <w:p w14:paraId="6CB1C498" w14:textId="77777777" w:rsidR="00072FF7" w:rsidRPr="001E72A1" w:rsidRDefault="00072FF7" w:rsidP="00B10B60">
      <w:pPr>
        <w:spacing w:after="0" w:line="240" w:lineRule="auto"/>
        <w:rPr>
          <w:rFonts w:ascii="Times New Roman" w:hAnsi="Times New Roman" w:cs="Mangal"/>
          <w:sz w:val="24"/>
          <w:szCs w:val="24"/>
          <w:lang w:eastAsia="ru-RU" w:bidi="hi-IN"/>
        </w:rPr>
      </w:pPr>
    </w:p>
    <w:tbl>
      <w:tblPr>
        <w:tblW w:w="9771" w:type="dxa"/>
        <w:tblLayout w:type="fixed"/>
        <w:tblLook w:val="01E0" w:firstRow="1" w:lastRow="1" w:firstColumn="1" w:lastColumn="1" w:noHBand="0" w:noVBand="0"/>
      </w:tblPr>
      <w:tblGrid>
        <w:gridCol w:w="1696"/>
        <w:gridCol w:w="3083"/>
        <w:gridCol w:w="2304"/>
        <w:gridCol w:w="2688"/>
      </w:tblGrid>
      <w:tr w:rsidR="00072FF7" w:rsidRPr="00054673" w14:paraId="4D49E99C" w14:textId="77777777" w:rsidTr="005972C4">
        <w:trPr>
          <w:cantSplit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FF9B2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Код угрупування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B12E2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eastAsia="ru-RU"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Опис угрупування</w:t>
            </w:r>
          </w:p>
          <w:p w14:paraId="19002D43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(міжнародна категорія)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D52FEB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eastAsia="ru-RU"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Опис угрупування</w:t>
            </w:r>
          </w:p>
          <w:p w14:paraId="2B9C1646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(дослівний переклад)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F5559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 xml:space="preserve">Національне визначення угрупування </w:t>
            </w:r>
          </w:p>
        </w:tc>
      </w:tr>
      <w:tr w:rsidR="00072FF7" w:rsidRPr="00054673" w14:paraId="54882C23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DAF1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1E26" w14:textId="77777777" w:rsidR="00072FF7" w:rsidRPr="001277B7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Government schemes and compulsory contributory health care financing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8667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Державні схеми та схеми фінансування охорони здоров'я за рахунок внесків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D4CA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lang w:val="ru-RU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Державні схеми та схеми фінансування охорони здоров'я за рахунок внесків</w:t>
            </w:r>
          </w:p>
        </w:tc>
      </w:tr>
      <w:tr w:rsidR="00072FF7" w:rsidRPr="00054673" w14:paraId="2A8986A4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3FE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HF.1.1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829D" w14:textId="77777777" w:rsidR="00072FF7" w:rsidRPr="001277B7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Government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BBD8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Державні схеми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1C24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highlight w:val="green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Державні схеми</w:t>
            </w:r>
          </w:p>
        </w:tc>
      </w:tr>
      <w:tr w:rsidR="00072FF7" w:rsidRPr="00054673" w14:paraId="11E881C9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1B3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HF.1.1.1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9EE" w14:textId="77777777" w:rsidR="00072FF7" w:rsidRPr="001277B7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Central government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D54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Схемі центрального уряду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C0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Центральні органи виконавчої влади</w:t>
            </w:r>
          </w:p>
        </w:tc>
      </w:tr>
      <w:tr w:rsidR="00072FF7" w:rsidRPr="00054673" w14:paraId="6EC68A7A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C4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HF.1.1.2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F6B2" w14:textId="77777777" w:rsidR="00072FF7" w:rsidRPr="001277B7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State/regional/local government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5E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 Державні /обласні/ місцеві органи влади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3C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Обласні/місцеві бюджети</w:t>
            </w:r>
          </w:p>
        </w:tc>
      </w:tr>
      <w:tr w:rsidR="00072FF7" w:rsidRPr="00054673" w14:paraId="2AA55330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629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HF.</w:t>
            </w:r>
            <w:r w:rsidRPr="00054673">
              <w:t>1.1.nec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B623" w14:textId="77777777" w:rsidR="00072FF7" w:rsidRPr="001277B7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lang w:val="en-US"/>
              </w:rPr>
              <w:t>Unspecified government schemes (n.e.c.)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258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Невизначені державні схеми (н.к.)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349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Невизначені державні схеми (н.к.)</w:t>
            </w:r>
          </w:p>
        </w:tc>
      </w:tr>
      <w:tr w:rsidR="00072FF7" w:rsidRPr="00054673" w14:paraId="78BED23F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E7F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HF.1.2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19B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Compulsory contributory health insurance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3E7C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обов'язкового медичного страхування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F974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обов'язкового медичного страхування</w:t>
            </w:r>
          </w:p>
        </w:tc>
      </w:tr>
      <w:tr w:rsidR="00072FF7" w:rsidRPr="00054673" w14:paraId="50C1537B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A582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iCs/>
                <w:sz w:val="24"/>
                <w:szCs w:val="24"/>
                <w:lang w:eastAsia="ru-RU" w:bidi="hi-IN"/>
              </w:rPr>
              <w:t>HF.1.2.1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585A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iCs/>
                <w:sz w:val="24"/>
                <w:szCs w:val="24"/>
                <w:lang w:val="en-US" w:eastAsia="ru-RU" w:bidi="hi-IN"/>
              </w:rPr>
              <w:t>Social health insurance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C4A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соціального медичного страхування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0A8C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соціального медичного страхування</w:t>
            </w:r>
          </w:p>
        </w:tc>
      </w:tr>
      <w:tr w:rsidR="00072FF7" w:rsidRPr="00054673" w14:paraId="5D11A4F1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7F7D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HF.1.2.2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94CF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Compulsory private insurance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E18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обов'язкового приватного страхування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0D6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обов'язкового приватного страхування</w:t>
            </w:r>
          </w:p>
        </w:tc>
      </w:tr>
      <w:tr w:rsidR="00072FF7" w:rsidRPr="00054673" w14:paraId="54B3E5AB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8D7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HF.</w:t>
            </w:r>
            <w:r w:rsidRPr="00054673">
              <w:t>1.2.nec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C961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lang w:val="en-US"/>
              </w:rPr>
              <w:t>Unspecified compulsory contributory health insurance schemes (n.e.c.)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6754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Невизначені схеми </w:t>
            </w:r>
            <w:r w:rsidRPr="007A6C52">
              <w:rPr>
                <w:rFonts w:cs="Calibri"/>
                <w:sz w:val="24"/>
                <w:szCs w:val="24"/>
                <w:lang w:eastAsia="ru-RU" w:bidi="hi-IN"/>
              </w:rPr>
              <w:t>загальнообов’язко</w:t>
            </w:r>
            <w:r w:rsidRPr="007A6C52">
              <w:rPr>
                <w:rFonts w:cs="Calibri"/>
                <w:sz w:val="24"/>
                <w:szCs w:val="24"/>
                <w:lang w:val="ru-RU" w:eastAsia="ru-RU" w:bidi="hi-IN"/>
              </w:rPr>
              <w:t>-</w:t>
            </w:r>
            <w:r w:rsidRPr="007A6C52">
              <w:rPr>
                <w:rFonts w:cs="Calibri"/>
                <w:sz w:val="24"/>
                <w:szCs w:val="24"/>
                <w:lang w:eastAsia="ru-RU" w:bidi="hi-IN"/>
              </w:rPr>
              <w:t>вого медичного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 страхування (н.к.)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DA3C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Невизначені схеми загальнообов’язкового медичного страхування </w:t>
            </w:r>
          </w:p>
        </w:tc>
      </w:tr>
      <w:tr w:rsidR="00072FF7" w:rsidRPr="00054673" w14:paraId="2F2921D1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C1F7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HF.1.3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956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Compulsory Medical Saving Accounts (CMSA)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6276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Обов'язкові медичні ощадні рахунки (CMSA)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F0A8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Обов'язкові медичні ощадні рахунки (CMSA)</w:t>
            </w:r>
          </w:p>
        </w:tc>
      </w:tr>
      <w:tr w:rsidR="00072FF7" w:rsidRPr="00054673" w14:paraId="3D2214BF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1F06" w14:textId="77777777" w:rsidR="00072FF7" w:rsidRPr="00054673" w:rsidRDefault="00072FF7" w:rsidP="00BB2A37">
            <w:pPr>
              <w:spacing w:after="0" w:line="240" w:lineRule="auto"/>
              <w:rPr>
                <w:lang w:val="en-US"/>
              </w:rPr>
            </w:pPr>
            <w:r w:rsidRPr="00054673">
              <w:rPr>
                <w:lang w:val="en-US"/>
              </w:rPr>
              <w:t>HF.</w:t>
            </w:r>
            <w:r w:rsidRPr="00054673">
              <w:t>1.nec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9B1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lang w:val="en-US"/>
              </w:rPr>
              <w:t>Unspecified government schemes and compulsory contributory schemes (n.e.c.)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CFB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Невизначені державні схеми та схеми обов’язкових внесків (н.к.)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D12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Невизначені державні схеми та схеми обов’язкових внесків</w:t>
            </w:r>
          </w:p>
        </w:tc>
      </w:tr>
      <w:tr w:rsidR="00072FF7" w:rsidRPr="00054673" w14:paraId="49ABC693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A89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lastRenderedPageBreak/>
              <w:t>HF.2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AF4F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Voluntary health care payment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17B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добровільної оплати медичної допомоги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15F8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добровільної оплати медичної допомоги</w:t>
            </w:r>
          </w:p>
        </w:tc>
      </w:tr>
      <w:tr w:rsidR="00072FF7" w:rsidRPr="00054673" w14:paraId="63308342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DC6D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HF.2.1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3870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Voluntary health insurance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74F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добровільного медичного страхування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DB7F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Добровільне приватне медичне страхування</w:t>
            </w:r>
          </w:p>
        </w:tc>
      </w:tr>
      <w:tr w:rsidR="00072FF7" w:rsidRPr="00054673" w14:paraId="1030C0FE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5903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HF.2.1.1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05B" w14:textId="37956B56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Primary/substitut</w:t>
            </w:r>
            <w:r w:rsidR="004542C6">
              <w:rPr>
                <w:rFonts w:cs="Calibri"/>
                <w:sz w:val="24"/>
                <w:szCs w:val="24"/>
                <w:lang w:val="en-US" w:eastAsia="ru-RU" w:bidi="hi-IN"/>
              </w:rPr>
              <w:t>o</w:t>
            </w: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ry health insurance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9BDA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Схеми </w:t>
            </w:r>
            <w:r w:rsidRPr="006B66CF">
              <w:rPr>
                <w:rFonts w:cs="Calibri"/>
                <w:sz w:val="24"/>
                <w:szCs w:val="24"/>
                <w:lang w:eastAsia="ru-RU" w:bidi="hi-IN"/>
              </w:rPr>
              <w:t>первинного/замін</w:t>
            </w:r>
            <w:r w:rsidRPr="006B66CF">
              <w:rPr>
                <w:rFonts w:cs="Calibri"/>
                <w:sz w:val="24"/>
                <w:szCs w:val="24"/>
                <w:lang w:val="ru-RU" w:eastAsia="ru-RU" w:bidi="hi-IN"/>
              </w:rPr>
              <w:t>-</w:t>
            </w:r>
            <w:r w:rsidRPr="006B66CF">
              <w:rPr>
                <w:rFonts w:cs="Calibri"/>
                <w:sz w:val="24"/>
                <w:szCs w:val="24"/>
                <w:lang w:eastAsia="ru-RU" w:bidi="hi-IN"/>
              </w:rPr>
              <w:t>ного медичного страхування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B709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первинного/замінного медичного страхування</w:t>
            </w:r>
          </w:p>
        </w:tc>
      </w:tr>
      <w:tr w:rsidR="00072FF7" w:rsidRPr="00054673" w14:paraId="589F4897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9954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HF.2.1.1.1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092C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Employer-based insurance (other than enterprises schemes)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F23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Страхування на основі роботодавця (крім корпоративних схем)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08D2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Страхування на основі роботодавця (крім корпоративних схем)</w:t>
            </w:r>
          </w:p>
        </w:tc>
      </w:tr>
      <w:tr w:rsidR="00072FF7" w:rsidRPr="00054673" w14:paraId="2C884648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9CB3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HF.2.1.1.2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62AF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Government-based voluntary insurance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9D87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Державне добровільне страхування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898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Державне добровільне страхування</w:t>
            </w:r>
          </w:p>
        </w:tc>
      </w:tr>
      <w:tr w:rsidR="00072FF7" w:rsidRPr="00054673" w14:paraId="22A03912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3C3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HF.2.1.1.3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DE1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Other primary coverage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9D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схеми первинного покриття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5E0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схеми первинного покриття</w:t>
            </w:r>
          </w:p>
        </w:tc>
      </w:tr>
      <w:tr w:rsidR="00072FF7" w:rsidRPr="00054673" w14:paraId="4BE2070F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3649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HF.2.1.2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8B0D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Complementary/supplementary insurance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475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додаткового страхування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AC3A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додаткового страхування</w:t>
            </w:r>
          </w:p>
        </w:tc>
      </w:tr>
      <w:tr w:rsidR="00072FF7" w:rsidRPr="00054673" w14:paraId="06D9FC87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A0F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HF.2.1.2.1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D298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Community-based insurance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68F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Страхування в громаді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60A9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Страхування в громаді</w:t>
            </w:r>
          </w:p>
        </w:tc>
      </w:tr>
      <w:tr w:rsidR="00072FF7" w:rsidRPr="00054673" w14:paraId="5D32D132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854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HF.2.1.2.2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FF5E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Other complementary/supplementary insurance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80B5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Інше </w:t>
            </w:r>
            <w:r w:rsidRPr="006B66CF">
              <w:rPr>
                <w:rFonts w:cs="Calibri"/>
                <w:sz w:val="24"/>
                <w:szCs w:val="24"/>
                <w:lang w:eastAsia="ru-RU" w:bidi="hi-IN"/>
              </w:rPr>
              <w:t>додаткове/додатко</w:t>
            </w:r>
            <w:r w:rsidRPr="006B66CF">
              <w:rPr>
                <w:rFonts w:cs="Calibri"/>
                <w:sz w:val="24"/>
                <w:szCs w:val="24"/>
                <w:lang w:val="ru-RU" w:eastAsia="ru-RU" w:bidi="hi-IN"/>
              </w:rPr>
              <w:t>-</w:t>
            </w:r>
            <w:r w:rsidRPr="006B66CF">
              <w:rPr>
                <w:rFonts w:cs="Calibri"/>
                <w:sz w:val="24"/>
                <w:szCs w:val="24"/>
                <w:lang w:eastAsia="ru-RU" w:bidi="hi-IN"/>
              </w:rPr>
              <w:t>ве страхування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6524" w14:textId="4D9C87F4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Інше додаткове страхування</w:t>
            </w:r>
          </w:p>
        </w:tc>
      </w:tr>
      <w:tr w:rsidR="00072FF7" w:rsidRPr="00054673" w14:paraId="5860BA2F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5112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HF.</w:t>
            </w:r>
            <w:r w:rsidRPr="00054673">
              <w:t>2.1.nec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437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lang w:val="en-US"/>
              </w:rPr>
              <w:t>Unspecified voluntary health insurance schemes (n.e.c.)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100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Невизначені схеми добровільного медичного страхування (н.к.)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8C5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Невизначені схеми добровільного медичного страхування </w:t>
            </w:r>
          </w:p>
        </w:tc>
      </w:tr>
      <w:tr w:rsidR="00072FF7" w:rsidRPr="00054673" w14:paraId="521F9284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4E5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HF.2.2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42B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NPISH financing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818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фінансування НКООДГ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E8D9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фінансування НКООДГ</w:t>
            </w:r>
          </w:p>
        </w:tc>
      </w:tr>
      <w:tr w:rsidR="00072FF7" w:rsidRPr="00054673" w14:paraId="04834469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8F2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HF.2.2.1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2156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NPISH financing schemes (excluding HF.2.2.2)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66B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фінансування NPISH (крім HF.2.2.2)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46DC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фінансування НКООДГ (крім HF.2.2.2)</w:t>
            </w:r>
          </w:p>
        </w:tc>
      </w:tr>
      <w:tr w:rsidR="00072FF7" w:rsidRPr="00054673" w14:paraId="4FFF64CE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57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HF.2.2.2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933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Resident foreign agencies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EFA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іноземних агентств-резидентів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FAC6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іноземних агентств-резидентів</w:t>
            </w:r>
          </w:p>
        </w:tc>
      </w:tr>
      <w:tr w:rsidR="00072FF7" w:rsidRPr="00054673" w14:paraId="53A21BD8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1BBD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HF.</w:t>
            </w:r>
            <w:r w:rsidRPr="00054673">
              <w:t>2.2.nec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E086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lang w:val="en-US"/>
              </w:rPr>
              <w:t>Unspecified NPISH financing schemes (n.e.c.)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5DBB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Невизначені схеми фінансування NPISH (н.к.)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BE4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Невизначені схеми фінансування НКООДГ </w:t>
            </w:r>
          </w:p>
        </w:tc>
      </w:tr>
      <w:tr w:rsidR="00072FF7" w:rsidRPr="00054673" w14:paraId="1052380B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1925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HF.2.3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600F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Enterprise financing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DB18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фінансування підприємств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F1AD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фінансування підприємств</w:t>
            </w:r>
          </w:p>
        </w:tc>
      </w:tr>
      <w:tr w:rsidR="00072FF7" w:rsidRPr="00054673" w14:paraId="25423E9E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855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lastRenderedPageBreak/>
              <w:t>HF.2.3.1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9068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Enterprises (except health care providers) financing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C337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фінансування підприємств (крім медичних працівників)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23A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фінансування підприємств (крім медичних працівників)</w:t>
            </w:r>
          </w:p>
        </w:tc>
      </w:tr>
      <w:tr w:rsidR="00072FF7" w:rsidRPr="00054673" w14:paraId="32675276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FB2D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HF.2.3.2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E00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Health care providers financing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B31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фінансування медичних працівників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84CB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фінансування медичних працівників</w:t>
            </w:r>
          </w:p>
        </w:tc>
      </w:tr>
      <w:tr w:rsidR="00072FF7" w:rsidRPr="00054673" w14:paraId="7A6A092D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564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054673">
              <w:rPr>
                <w:lang w:val="en-US"/>
              </w:rPr>
              <w:t>HF.</w:t>
            </w:r>
            <w:r w:rsidRPr="00054673">
              <w:t>2.3.nec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539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lang w:val="en-US"/>
              </w:rPr>
              <w:t>Unspecified enterprise financing schemes (n.e.c.)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F8B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>Невизначені схеми фінансування підприємств (н.к.)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ADD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 xml:space="preserve">Невизначені схеми фінансування підприємств </w:t>
            </w:r>
          </w:p>
        </w:tc>
      </w:tr>
      <w:tr w:rsidR="00072FF7" w:rsidRPr="00054673" w14:paraId="74196D2F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E28" w14:textId="77777777" w:rsidR="00072FF7" w:rsidRPr="00054673" w:rsidRDefault="00072FF7" w:rsidP="00BB2A37">
            <w:pPr>
              <w:spacing w:after="0" w:line="240" w:lineRule="auto"/>
              <w:rPr>
                <w:lang w:val="en-US"/>
              </w:rPr>
            </w:pPr>
            <w:r w:rsidRPr="00054673">
              <w:rPr>
                <w:lang w:val="en-US"/>
              </w:rPr>
              <w:t>HF.</w:t>
            </w:r>
            <w:r w:rsidRPr="00054673">
              <w:t>2.nec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1347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lang w:val="en-US"/>
              </w:rPr>
              <w:t>Unspecified voluntary health care payment schemes (n.e.c.)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8753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ru-RU" w:eastAsia="ru-RU" w:bidi="hi-IN"/>
              </w:rPr>
            </w:pPr>
            <w:r w:rsidRPr="00054673">
              <w:t>Невизначені схеми добровільної оплати медичної допомоги (н.к.)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50CC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 xml:space="preserve">Невизначені схеми добровільної оплати медичної допомоги </w:t>
            </w:r>
          </w:p>
        </w:tc>
      </w:tr>
      <w:tr w:rsidR="00072FF7" w:rsidRPr="00054673" w14:paraId="4EBEFC9A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A46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HF.3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948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Household out-of-pocket payment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747" w14:textId="77777777" w:rsidR="00072FF7" w:rsidRPr="006B66CF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6B66CF">
              <w:rPr>
                <w:rFonts w:cs="Calibri"/>
                <w:sz w:val="24"/>
                <w:szCs w:val="24"/>
                <w:lang w:val="en-US" w:eastAsia="ru-RU" w:bidi="hi-IN"/>
              </w:rPr>
              <w:t>Оплата із власної кишені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349" w14:textId="77777777" w:rsidR="00072FF7" w:rsidRPr="006B66CF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6B66CF">
              <w:rPr>
                <w:rFonts w:cs="Calibri"/>
                <w:sz w:val="24"/>
                <w:szCs w:val="24"/>
                <w:lang w:val="ru-RU" w:eastAsia="ru-RU" w:bidi="hi-IN"/>
              </w:rPr>
              <w:t>Оплата із власної кишені</w:t>
            </w:r>
            <w:r w:rsidRPr="006B66CF">
              <w:rPr>
                <w:rFonts w:cs="Calibri"/>
                <w:sz w:val="24"/>
                <w:szCs w:val="24"/>
                <w:lang w:eastAsia="ru-RU" w:bidi="hi-IN"/>
              </w:rPr>
              <w:t xml:space="preserve"> домашніх господарств</w:t>
            </w:r>
          </w:p>
        </w:tc>
      </w:tr>
      <w:tr w:rsidR="00072FF7" w:rsidRPr="00054673" w14:paraId="66E03217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8BEC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HF.3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665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Out-of-pocket excluding cost-sharing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A3B" w14:textId="77777777" w:rsidR="00072FF7" w:rsidRPr="006B66CF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ru-RU" w:eastAsia="ru-RU" w:bidi="hi-IN"/>
              </w:rPr>
            </w:pPr>
            <w:r w:rsidRPr="006B66CF">
              <w:rPr>
                <w:rFonts w:cs="Calibri"/>
                <w:sz w:val="24"/>
                <w:szCs w:val="24"/>
                <w:lang w:val="ru-RU" w:eastAsia="ru-RU" w:bidi="hi-IN"/>
              </w:rPr>
              <w:t>Із власної кишені, за винятком розподілу витрат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599" w14:textId="77777777" w:rsidR="00072FF7" w:rsidRPr="006B66CF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6B66CF">
              <w:rPr>
                <w:rFonts w:cs="Calibri"/>
                <w:sz w:val="24"/>
                <w:szCs w:val="24"/>
                <w:lang w:val="ru-RU" w:eastAsia="ru-RU" w:bidi="hi-IN"/>
              </w:rPr>
              <w:t>Оплата із власної кишені, за винятком розподілу витрат</w:t>
            </w:r>
          </w:p>
        </w:tc>
      </w:tr>
      <w:tr w:rsidR="00072FF7" w:rsidRPr="00054673" w14:paraId="2E922EB0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F72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HF.3.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E240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Cost sharing with third-party payers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A948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ru-RU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ru-RU" w:eastAsia="ru-RU" w:bidi="hi-IN"/>
              </w:rPr>
              <w:t>Розподіл витрат із сторонніми платниками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2F10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ru-RU" w:eastAsia="ru-RU" w:bidi="hi-IN"/>
              </w:rPr>
              <w:t>Розподіл витрат із сторонніми платниками</w:t>
            </w:r>
          </w:p>
        </w:tc>
      </w:tr>
      <w:tr w:rsidR="00072FF7" w:rsidRPr="00054673" w14:paraId="4449AA85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06B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HF.3.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2.1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17B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Cost sharing with government schemes and compulsory contributory health insurance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F88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ru-RU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ru-RU" w:eastAsia="ru-RU" w:bidi="hi-IN"/>
              </w:rPr>
              <w:t>Розподіл витрат із державними схемами та схемами обов’язкового медичного страхування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8EB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ru-RU" w:eastAsia="ru-RU" w:bidi="hi-IN"/>
              </w:rPr>
              <w:t>Розподіл витрат із державними схемами та схемами обов’язкового медичного страхування</w:t>
            </w:r>
          </w:p>
        </w:tc>
      </w:tr>
      <w:tr w:rsidR="00072FF7" w:rsidRPr="00054673" w14:paraId="4EFCD389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806A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HF.3.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2.2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4304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Cost sharing with voluntary insurance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87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ru-RU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ru-RU" w:eastAsia="ru-RU" w:bidi="hi-IN"/>
              </w:rPr>
              <w:t>Розподіл витрат зі схемами добровільного страхування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406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ru-RU" w:eastAsia="ru-RU" w:bidi="hi-IN"/>
              </w:rPr>
              <w:t>Розподіл витрат зі схемами добровільного страхування</w:t>
            </w:r>
          </w:p>
        </w:tc>
      </w:tr>
      <w:tr w:rsidR="00072FF7" w:rsidRPr="00054673" w14:paraId="3D735138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01F0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054673">
              <w:rPr>
                <w:lang w:val="en-US"/>
              </w:rPr>
              <w:t>HF.</w:t>
            </w:r>
            <w:r w:rsidRPr="00054673">
              <w:t>3.2.nec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45DC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lang w:val="en-US"/>
              </w:rPr>
              <w:t>Unspecified cost sharing with third-party payers (n.e.c.)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AB17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ru-RU" w:eastAsia="ru-RU" w:bidi="hi-IN"/>
              </w:rPr>
            </w:pPr>
            <w:r w:rsidRPr="00054673">
              <w:t>Невизначений розподіл витрат із сторонніми платниками (н.к.)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49B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>Невизначений розподіл витрат із сторонніми платниками</w:t>
            </w:r>
          </w:p>
        </w:tc>
      </w:tr>
      <w:tr w:rsidR="00072FF7" w:rsidRPr="00054673" w14:paraId="674D0E8E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B30E" w14:textId="77777777" w:rsidR="00072FF7" w:rsidRPr="00054673" w:rsidRDefault="00072FF7" w:rsidP="00BB2A37">
            <w:pPr>
              <w:spacing w:after="0" w:line="240" w:lineRule="auto"/>
            </w:pPr>
            <w:r w:rsidRPr="00054673">
              <w:rPr>
                <w:lang w:val="en-US"/>
              </w:rPr>
              <w:t>HF.</w:t>
            </w:r>
            <w:r w:rsidRPr="00054673">
              <w:t>3.nec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CE2A" w14:textId="77777777" w:rsidR="00072FF7" w:rsidRPr="001277B7" w:rsidRDefault="00072FF7" w:rsidP="00BB2A37">
            <w:pPr>
              <w:spacing w:after="0" w:line="240" w:lineRule="auto"/>
              <w:rPr>
                <w:lang w:val="en-US"/>
              </w:rPr>
            </w:pPr>
            <w:r w:rsidRPr="001277B7">
              <w:rPr>
                <w:lang w:val="en-US"/>
              </w:rPr>
              <w:t>Unspecified household out-of-pocket payment (n.e.c.)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64B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ru-RU" w:eastAsia="ru-RU" w:bidi="hi-IN"/>
              </w:rPr>
            </w:pPr>
            <w:r w:rsidRPr="00054673">
              <w:t>Невизначений власний платіж для домогосподарств (н.к.)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30F5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>Невизначений власний платіж для домогосподарств</w:t>
            </w:r>
          </w:p>
        </w:tc>
      </w:tr>
      <w:tr w:rsidR="00072FF7" w:rsidRPr="00054673" w14:paraId="4572BF76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38A0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HF.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032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Rest of the world financing schemes (non-resident)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28B6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ru-RU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ru-RU" w:eastAsia="ru-RU" w:bidi="hi-IN"/>
              </w:rPr>
              <w:t>Схеми фінансування решти світу (нерезиденти)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7C0B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ru-RU" w:eastAsia="ru-RU" w:bidi="hi-IN"/>
              </w:rPr>
              <w:t>Схеми фінансування і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ншого світу</w:t>
            </w:r>
          </w:p>
        </w:tc>
      </w:tr>
      <w:tr w:rsidR="00072FF7" w:rsidRPr="00054673" w14:paraId="03C6A4AA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94F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HF.4.1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5491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Compulsory schemes (non-resident)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27C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Обов'язкові схеми (нерезиденти)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37A6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Інший світ (участь в обов'язкових схемах)</w:t>
            </w:r>
          </w:p>
        </w:tc>
      </w:tr>
      <w:tr w:rsidR="00072FF7" w:rsidRPr="00054673" w14:paraId="03E3BEBC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A90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lastRenderedPageBreak/>
              <w:t>HF.4.1.1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17FB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Compulsory health insurance schemes (non-resident)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C0CA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обов’язкового медичного страхування (нерезидент)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DF99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обов’язкового медичного страхування (нерезидент)</w:t>
            </w:r>
          </w:p>
        </w:tc>
      </w:tr>
      <w:tr w:rsidR="00072FF7" w:rsidRPr="00054673" w14:paraId="22FCE596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715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HF.4.1.2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B0B9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Other compulsory schemes (non-resident)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014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обов'язкові схеми (нерезидент)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74F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обов'язкові схеми (нерезидент)</w:t>
            </w:r>
          </w:p>
        </w:tc>
      </w:tr>
      <w:tr w:rsidR="00072FF7" w:rsidRPr="00054673" w14:paraId="2F0B982D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74B2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HF.4.2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BC43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Voluntary schemes (non-resident)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9E3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Добровільні схеми (нерезидент)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140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Інший світ (добровільні схеми)</w:t>
            </w:r>
          </w:p>
        </w:tc>
      </w:tr>
      <w:tr w:rsidR="00072FF7" w:rsidRPr="00054673" w14:paraId="699BFF87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CB77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HF.4.2.1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7B42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Voluntary health insurance schemes (non-resident)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6387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добровільного медичного страхування (нерезидент)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FA3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добровільного медичного страхування (нерезидент)</w:t>
            </w:r>
          </w:p>
        </w:tc>
      </w:tr>
      <w:tr w:rsidR="00072FF7" w:rsidRPr="00054673" w14:paraId="6C1DD728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A8B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HF.4.2.2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EA92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Other schemes (non-resident)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618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схеми (нерезидент)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582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схеми (нерезидент)</w:t>
            </w:r>
          </w:p>
        </w:tc>
      </w:tr>
      <w:tr w:rsidR="00072FF7" w:rsidRPr="00054673" w14:paraId="681A734F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1CC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HF.4.2.2.1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EDAB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Philanthropy/international NGOs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8301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Філантропія/схеми міжнародних НКО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7496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міжнародних некомерційних організацій</w:t>
            </w:r>
          </w:p>
        </w:tc>
      </w:tr>
      <w:tr w:rsidR="00072FF7" w:rsidRPr="00054673" w14:paraId="1A3E44F8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8F37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HF.4.2.2.2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11F0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>Foreign development agencies schemes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FAC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іноземних агентств розвитку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615F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іноземних агентств розвитку</w:t>
            </w:r>
          </w:p>
        </w:tc>
      </w:tr>
      <w:tr w:rsidR="00072FF7" w:rsidRPr="00054673" w14:paraId="22BF095E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E32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HF.4.2.2.3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588" w14:textId="2BD0290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 xml:space="preserve">Schemes of enclaves (e.g. international </w:t>
            </w:r>
            <w:r w:rsidR="004542C6" w:rsidRPr="001277B7">
              <w:rPr>
                <w:rFonts w:cs="Calibri"/>
                <w:sz w:val="24"/>
                <w:szCs w:val="24"/>
                <w:lang w:val="en-US" w:eastAsia="ru-RU" w:bidi="hi-IN"/>
              </w:rPr>
              <w:t>organizations</w:t>
            </w:r>
            <w:r w:rsidRPr="001277B7">
              <w:rPr>
                <w:rFonts w:cs="Calibri"/>
                <w:sz w:val="24"/>
                <w:szCs w:val="24"/>
                <w:lang w:val="en-US" w:eastAsia="ru-RU" w:bidi="hi-IN"/>
              </w:rPr>
              <w:t xml:space="preserve"> or embassies)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056C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анклавів (наприклад, міжнародні організації чи посольства)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0A54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Схеми анклавів (міжнародні організації чи посольства)</w:t>
            </w:r>
          </w:p>
        </w:tc>
      </w:tr>
      <w:tr w:rsidR="00072FF7" w:rsidRPr="00054673" w14:paraId="7EA56A79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E41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HF.</w:t>
            </w:r>
            <w:r w:rsidRPr="00054673">
              <w:t>4.2.2.nec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8271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lang w:val="en-US"/>
              </w:rPr>
              <w:t>Unspecified other non-resident voluntary schemes (n.e.c.)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170C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>Невизначені інші добровільні схеми нерезидентів (н.е.)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3B6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 xml:space="preserve">Невизначені інші добровільні схеми нерезидентів </w:t>
            </w:r>
          </w:p>
        </w:tc>
      </w:tr>
      <w:tr w:rsidR="00072FF7" w:rsidRPr="00054673" w14:paraId="11B0CAB4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099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HF.</w:t>
            </w:r>
            <w:r w:rsidRPr="00054673">
              <w:t>4.nec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B52C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lang w:val="en-US"/>
              </w:rPr>
              <w:t>Unspecified rest of the world financing schemes (n.e.c.)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3FC8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>Невизначені схеми фінансування решти світу (н.к.)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3F4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 xml:space="preserve">Невизначені схеми фінансування іншого світу </w:t>
            </w:r>
          </w:p>
        </w:tc>
      </w:tr>
      <w:tr w:rsidR="00072FF7" w:rsidRPr="00054673" w14:paraId="26DD9452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4AC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HF.</w:t>
            </w:r>
            <w:r w:rsidRPr="00054673">
              <w:t>nec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A6AF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1277B7">
              <w:rPr>
                <w:lang w:val="en-US"/>
              </w:rPr>
              <w:t>Unspecified financing schemes (n.e.c.)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7D5D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>Невизначені схеми фінансування (н.к.)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20F1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>Невизначені схеми фінансування</w:t>
            </w:r>
          </w:p>
        </w:tc>
      </w:tr>
      <w:tr w:rsidR="00072FF7" w:rsidRPr="00054673" w14:paraId="4545D56B" w14:textId="77777777" w:rsidTr="005972C4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CE4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48E0" w14:textId="77777777" w:rsidR="00072FF7" w:rsidRPr="001277B7" w:rsidRDefault="00072FF7" w:rsidP="00BB2A3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783E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eastAsia="ru-RU" w:bidi="hi-IN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A535" w14:textId="77777777" w:rsidR="00072FF7" w:rsidRPr="00054673" w:rsidRDefault="00072FF7" w:rsidP="00BB2A37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</w:p>
        </w:tc>
      </w:tr>
    </w:tbl>
    <w:p w14:paraId="23194AC1" w14:textId="77777777" w:rsidR="00072FF7" w:rsidRDefault="00072FF7" w:rsidP="002F2489">
      <w:pPr>
        <w:keepNext/>
        <w:spacing w:after="0" w:line="240" w:lineRule="auto"/>
        <w:jc w:val="center"/>
        <w:outlineLvl w:val="1"/>
        <w:rPr>
          <w:rFonts w:ascii="Times New Roman" w:hAnsi="Times New Roman" w:cs="Mangal"/>
          <w:sz w:val="28"/>
          <w:szCs w:val="28"/>
          <w:lang w:eastAsia="ru-RU" w:bidi="hi-IN"/>
        </w:rPr>
      </w:pPr>
    </w:p>
    <w:p w14:paraId="1C55A2A3" w14:textId="77777777" w:rsidR="00072FF7" w:rsidRDefault="00072FF7" w:rsidP="00B10B60">
      <w:pPr>
        <w:spacing w:after="0" w:line="240" w:lineRule="auto"/>
        <w:rPr>
          <w:rFonts w:ascii="Times New Roman" w:hAnsi="Times New Roman" w:cs="Mangal"/>
          <w:sz w:val="28"/>
          <w:szCs w:val="28"/>
          <w:lang w:eastAsia="ru-RU" w:bidi="hi-IN"/>
        </w:rPr>
      </w:pPr>
    </w:p>
    <w:p w14:paraId="1C4CF67F" w14:textId="77777777" w:rsidR="00072FF7" w:rsidRPr="001E72A1" w:rsidRDefault="00072FF7" w:rsidP="00B10B60">
      <w:pPr>
        <w:spacing w:after="0" w:line="240" w:lineRule="auto"/>
        <w:rPr>
          <w:rFonts w:ascii="Times New Roman" w:hAnsi="Times New Roman" w:cs="Mangal"/>
          <w:sz w:val="28"/>
          <w:szCs w:val="28"/>
          <w:lang w:eastAsia="ru-RU" w:bidi="hi-IN"/>
        </w:rPr>
      </w:pPr>
      <w:r w:rsidRPr="001E72A1">
        <w:rPr>
          <w:rFonts w:ascii="Times New Roman" w:hAnsi="Times New Roman" w:cs="Mangal"/>
          <w:sz w:val="28"/>
          <w:szCs w:val="28"/>
          <w:lang w:eastAsia="ru-RU" w:bidi="hi-IN"/>
        </w:rPr>
        <w:t>П</w:t>
      </w:r>
      <w:r>
        <w:rPr>
          <w:rFonts w:ascii="Times New Roman" w:hAnsi="Times New Roman" w:cs="Mangal"/>
          <w:sz w:val="28"/>
          <w:szCs w:val="28"/>
          <w:lang w:eastAsia="ru-RU" w:bidi="hi-IN"/>
        </w:rPr>
        <w:t>остачальники</w:t>
      </w:r>
      <w:r w:rsidRPr="001E72A1">
        <w:rPr>
          <w:rFonts w:ascii="Times New Roman" w:hAnsi="Times New Roman" w:cs="Mangal"/>
          <w:sz w:val="28"/>
          <w:szCs w:val="28"/>
          <w:lang w:eastAsia="ru-RU" w:bidi="hi-IN"/>
        </w:rPr>
        <w:t xml:space="preserve"> медичних послуг</w:t>
      </w:r>
      <w:r w:rsidRPr="00A524CE">
        <w:rPr>
          <w:rFonts w:ascii="Times New Roman" w:hAnsi="Times New Roman" w:cs="Mangal"/>
          <w:sz w:val="28"/>
          <w:szCs w:val="28"/>
          <w:lang w:eastAsia="ru-RU" w:bidi="hi-IN"/>
        </w:rPr>
        <w:t xml:space="preserve"> (HP)</w:t>
      </w:r>
    </w:p>
    <w:p w14:paraId="4F993137" w14:textId="77777777" w:rsidR="00072FF7" w:rsidRPr="001E72A1" w:rsidRDefault="00072FF7" w:rsidP="00B10B60">
      <w:pPr>
        <w:spacing w:after="0" w:line="240" w:lineRule="auto"/>
        <w:rPr>
          <w:rFonts w:ascii="Times New Roman" w:hAnsi="Times New Roman" w:cs="Mangal"/>
          <w:sz w:val="24"/>
          <w:szCs w:val="24"/>
          <w:lang w:eastAsia="ru-RU" w:bidi="hi-I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13"/>
        <w:gridCol w:w="2344"/>
        <w:gridCol w:w="2815"/>
        <w:gridCol w:w="2857"/>
      </w:tblGrid>
      <w:tr w:rsidR="00072FF7" w:rsidRPr="00054673" w14:paraId="7030810F" w14:textId="77777777" w:rsidTr="005972C4">
        <w:trPr>
          <w:cantSplit/>
          <w:tblHeader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01E4F8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Код угрупування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B9DDB4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eastAsia="ru-RU"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Опис угрупування</w:t>
            </w:r>
          </w:p>
          <w:p w14:paraId="077B138B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(міжнародна категорія)*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9641C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eastAsia="ru-RU"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Опис угрупування</w:t>
            </w:r>
          </w:p>
          <w:p w14:paraId="58724AE1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(дослівний переклад)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AF893C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 xml:space="preserve">Національне визначення угрупування </w:t>
            </w:r>
          </w:p>
        </w:tc>
      </w:tr>
      <w:tr w:rsidR="00072FF7" w:rsidRPr="00054673" w14:paraId="3AC71EBF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A7B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A83D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Hospitals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7E9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Лікарні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00C3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Лікарні</w:t>
            </w:r>
          </w:p>
        </w:tc>
      </w:tr>
      <w:tr w:rsidR="00072FF7" w:rsidRPr="00054673" w14:paraId="54D6624F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11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HP.</w:t>
            </w:r>
            <w:r w:rsidRPr="00054673">
              <w:t>1.1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BE30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lang w:val="en-US"/>
              </w:rPr>
              <w:t>General hospitals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F61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Лікарні загального профілю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316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Лікарні загального профілю</w:t>
            </w:r>
          </w:p>
        </w:tc>
      </w:tr>
      <w:tr w:rsidR="00072FF7" w:rsidRPr="00054673" w14:paraId="10364E26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06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lastRenderedPageBreak/>
              <w:t>HP.1.2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97B8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Mental health and substance abuse hospitals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38B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Психіатричні і наркологічні лікарні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01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Психіатричні і наркологічні лікарні</w:t>
            </w:r>
          </w:p>
        </w:tc>
      </w:tr>
      <w:tr w:rsidR="00072FF7" w:rsidRPr="00054673" w14:paraId="3158F724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17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HP.1.3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BC5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Specialty (</w:t>
            </w:r>
            <w:r w:rsidRPr="00EC0E5A">
              <w:rPr>
                <w:rFonts w:cs="Calibri"/>
                <w:sz w:val="24"/>
                <w:szCs w:val="24"/>
                <w:u w:val="single"/>
                <w:lang w:val="en-US" w:eastAsia="ru-RU" w:bidi="hi-IN"/>
              </w:rPr>
              <w:t>other than mental health abuse</w:t>
            </w: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) hospitals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90B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E53CA1">
              <w:rPr>
                <w:rFonts w:cs="Calibri"/>
                <w:sz w:val="24"/>
                <w:szCs w:val="24"/>
                <w:lang w:eastAsia="ru-RU" w:bidi="hi-IN"/>
              </w:rPr>
              <w:t>Спеціалізовані лікарні (крім психіатричного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 здоров’я)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197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Спеціалізовані лікарні (крім психіатричних)</w:t>
            </w:r>
          </w:p>
        </w:tc>
      </w:tr>
      <w:tr w:rsidR="00072FF7" w:rsidRPr="00054673" w14:paraId="532AE48D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9E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HP.</w:t>
            </w:r>
            <w:r w:rsidRPr="00054673">
              <w:t>1.3.1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7E0B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lang w:val="en-US"/>
              </w:rPr>
              <w:t>Maternal House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456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>Материнський дім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B53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>Материнський дім</w:t>
            </w:r>
          </w:p>
        </w:tc>
      </w:tr>
      <w:tr w:rsidR="00072FF7" w:rsidRPr="00054673" w14:paraId="514EBBCA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E7A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HP.</w:t>
            </w:r>
            <w:r w:rsidRPr="00054673">
              <w:t>1.3.2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4011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lang w:val="en-US"/>
              </w:rPr>
              <w:t>TB-Pulmonary Hospital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C9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E53CA1">
              <w:t>Туберкульозна-</w:t>
            </w:r>
            <w:r w:rsidRPr="00E53CA1">
              <w:rPr>
                <w:lang w:val="en-US"/>
              </w:rPr>
              <w:t>л</w:t>
            </w:r>
            <w:r w:rsidRPr="00E53CA1">
              <w:t>егенева</w:t>
            </w:r>
            <w:r w:rsidRPr="00054673">
              <w:t xml:space="preserve"> лікарня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896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>Туберкульозно-легенева лікарня</w:t>
            </w:r>
          </w:p>
        </w:tc>
      </w:tr>
      <w:tr w:rsidR="00072FF7" w:rsidRPr="00054673" w14:paraId="6BB9C2CA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03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HP.</w:t>
            </w:r>
            <w:r w:rsidRPr="00054673">
              <w:t>1.3.nec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5357" w14:textId="2B7394C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lang w:val="en-US"/>
              </w:rPr>
              <w:t xml:space="preserve">Other </w:t>
            </w:r>
            <w:r w:rsidR="004542C6" w:rsidRPr="00EC0E5A">
              <w:rPr>
                <w:lang w:val="en-US"/>
              </w:rPr>
              <w:t>Specialized</w:t>
            </w:r>
            <w:r w:rsidRPr="00EC0E5A">
              <w:rPr>
                <w:lang w:val="en-US"/>
              </w:rPr>
              <w:t xml:space="preserve"> hospitals (Other than mental health hospitals)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26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>Інші спеціалізовані лікарні (крім лікарень для психічного здоров'я)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3B6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>Інші спеціалізовані лікарні (крім лікарень для психічного здоров'я)</w:t>
            </w:r>
          </w:p>
        </w:tc>
      </w:tr>
      <w:tr w:rsidR="00072FF7" w:rsidRPr="00054673" w14:paraId="44B1F82E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56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HP.</w:t>
            </w:r>
            <w:r w:rsidRPr="00054673">
              <w:t>1.nec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C0D3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lang w:val="en-US"/>
              </w:rPr>
              <w:t>Unspecified hospitals (n.e.c.)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566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>Неуточнені лікарні (н.к.)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F7D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t>Неуточнені лікарні</w:t>
            </w:r>
          </w:p>
        </w:tc>
      </w:tr>
      <w:tr w:rsidR="00072FF7" w:rsidRPr="00054673" w14:paraId="066DEF3C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27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07FB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Residential long-term care facilities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F9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Інтернатні заклади тривалого догляду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75F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E53CA1">
              <w:rPr>
                <w:rFonts w:cs="Calibri"/>
                <w:sz w:val="24"/>
                <w:szCs w:val="24"/>
                <w:lang w:val="ru-RU" w:eastAsia="ru-RU" w:bidi="hi-IN"/>
              </w:rPr>
              <w:t>І</w:t>
            </w:r>
            <w:r w:rsidRPr="00E53CA1">
              <w:rPr>
                <w:rFonts w:cs="Calibri"/>
                <w:sz w:val="24"/>
                <w:szCs w:val="24"/>
                <w:lang w:eastAsia="ru-RU" w:bidi="hi-IN"/>
              </w:rPr>
              <w:t xml:space="preserve">нтернатні заклади, що надають послуги </w:t>
            </w:r>
            <w:r w:rsidRPr="00E53CA1">
              <w:rPr>
                <w:rFonts w:cs="Calibri"/>
                <w:sz w:val="24"/>
                <w:szCs w:val="24"/>
                <w:lang w:val="ru-RU" w:eastAsia="ru-RU" w:bidi="hi-IN"/>
              </w:rPr>
              <w:t>і</w:t>
            </w:r>
            <w:r w:rsidRPr="00E53CA1">
              <w:rPr>
                <w:rFonts w:cs="Calibri"/>
                <w:sz w:val="24"/>
                <w:szCs w:val="24"/>
                <w:lang w:eastAsia="ru-RU" w:bidi="hi-IN"/>
              </w:rPr>
              <w:t>з сестринського догляду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 та</w:t>
            </w:r>
          </w:p>
          <w:p w14:paraId="0D15551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проживання</w:t>
            </w:r>
          </w:p>
        </w:tc>
      </w:tr>
      <w:tr w:rsidR="00072FF7" w:rsidRPr="00054673" w14:paraId="422E60AB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3C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HP.2.1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F8E" w14:textId="77777777" w:rsidR="00072FF7" w:rsidRPr="00EC0E5A" w:rsidRDefault="00072FF7" w:rsidP="005972C4">
            <w:pPr>
              <w:tabs>
                <w:tab w:val="left" w:pos="3288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Long-term nursing care facilities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5E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Заклади довгострокового догляду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45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Установи сестринського догляду</w:t>
            </w:r>
          </w:p>
        </w:tc>
      </w:tr>
      <w:tr w:rsidR="00072FF7" w:rsidRPr="00054673" w14:paraId="0589D0BB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26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HP.2.2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11B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Mental health and substance abuse facilities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061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Установи для психічного здоров'я та зловживання психоактивними речовинами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88E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Установи по догляду за розумово відсталими, психіатричними хворими і лікування алкогольної або наркотичної залежності</w:t>
            </w:r>
          </w:p>
        </w:tc>
      </w:tr>
      <w:tr w:rsidR="00072FF7" w:rsidRPr="00054673" w14:paraId="5DEA16B8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473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HP.2.9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B691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Other residential long-term care facilities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B67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заклади довготривалого догляду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9CC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Всі інші установи по догляду</w:t>
            </w:r>
          </w:p>
        </w:tc>
      </w:tr>
      <w:tr w:rsidR="00072FF7" w:rsidRPr="00054673" w14:paraId="0C6D3B08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2E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BF04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Providers of ambulatory health care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34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Надавачі амбулаторної медичної допомоги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7F6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Постачальники амбулаторної медичної допомоги</w:t>
            </w:r>
          </w:p>
        </w:tc>
      </w:tr>
      <w:tr w:rsidR="00072FF7" w:rsidRPr="00054673" w14:paraId="4296D085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669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HP.3.1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8487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shd w:val="clear" w:color="auto" w:fill="FFFF00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Medical practices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13A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Лікарські практики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53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Лікарські кабінети</w:t>
            </w:r>
          </w:p>
        </w:tc>
      </w:tr>
      <w:tr w:rsidR="00072FF7" w:rsidRPr="00054673" w14:paraId="712AEDEE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EF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iCs/>
                <w:sz w:val="24"/>
                <w:szCs w:val="24"/>
                <w:lang w:eastAsia="ru-RU" w:bidi="hi-IN"/>
              </w:rPr>
              <w:t>HP.3.1.1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C70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iCs/>
                <w:sz w:val="24"/>
                <w:szCs w:val="24"/>
                <w:lang w:val="en-US" w:eastAsia="ru-RU" w:bidi="hi-IN"/>
              </w:rPr>
              <w:t>Offices of general medical practitioners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05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Кабінети лікарів загальної практики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B6D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Кабінети лікарів загальної практики</w:t>
            </w:r>
          </w:p>
        </w:tc>
      </w:tr>
      <w:tr w:rsidR="00072FF7" w:rsidRPr="00054673" w14:paraId="3D691FAC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A8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iCs/>
                <w:sz w:val="24"/>
                <w:szCs w:val="24"/>
                <w:lang w:eastAsia="ru-RU" w:bidi="hi-IN"/>
              </w:rPr>
              <w:t>HP.3.1.2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7249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iCs/>
                <w:sz w:val="24"/>
                <w:szCs w:val="24"/>
                <w:lang w:val="en-US" w:eastAsia="ru-RU" w:bidi="hi-IN"/>
              </w:rPr>
              <w:t>Offices of mental medical specialists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88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Кабінети лікарів-психологів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0F1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Кабінети лікарів-психологів</w:t>
            </w:r>
          </w:p>
        </w:tc>
      </w:tr>
      <w:tr w:rsidR="00072FF7" w:rsidRPr="00054673" w14:paraId="6C34427B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62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iCs/>
                <w:sz w:val="24"/>
                <w:szCs w:val="24"/>
                <w:lang w:eastAsia="ru-RU" w:bidi="hi-IN"/>
              </w:rPr>
              <w:t>HP.3.1.3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3E9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iCs/>
                <w:sz w:val="24"/>
                <w:szCs w:val="24"/>
                <w:lang w:val="en-US" w:eastAsia="ru-RU" w:bidi="hi-IN"/>
              </w:rPr>
              <w:t>Offices of medical specialists (other than mental medical specialists)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07E4" w14:textId="77777777" w:rsidR="00072FF7" w:rsidRPr="00E53CA1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E53CA1">
              <w:rPr>
                <w:rFonts w:cs="Calibri"/>
                <w:sz w:val="24"/>
                <w:szCs w:val="24"/>
                <w:lang w:eastAsia="ru-RU" w:bidi="hi-IN"/>
              </w:rPr>
              <w:t>Кабінети медичних спеціалістів (крім спеціалістів із психіки)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6BED" w14:textId="77777777" w:rsidR="00072FF7" w:rsidRPr="00E53CA1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E53CA1">
              <w:rPr>
                <w:rFonts w:cs="Calibri"/>
                <w:sz w:val="24"/>
                <w:szCs w:val="24"/>
                <w:lang w:eastAsia="ru-RU" w:bidi="hi-IN"/>
              </w:rPr>
              <w:t>Кабінети медичних спеціалістів (крім спеціалістів із психіки)</w:t>
            </w:r>
          </w:p>
        </w:tc>
      </w:tr>
      <w:tr w:rsidR="00072FF7" w:rsidRPr="00054673" w14:paraId="2F27F645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4B4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HP.</w:t>
            </w:r>
            <w:r w:rsidRPr="00054673">
              <w:rPr>
                <w:rFonts w:cs="Calibri"/>
                <w:sz w:val="24"/>
                <w:szCs w:val="24"/>
              </w:rPr>
              <w:t>3.1.nec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138" w14:textId="77777777" w:rsidR="00072FF7" w:rsidRPr="00EC0E5A" w:rsidRDefault="00072FF7" w:rsidP="005972C4">
            <w:pPr>
              <w:tabs>
                <w:tab w:val="left" w:pos="3624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Unspecified medical practices (n.e.c.)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1B4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Неуточнена медична практика (н.к.)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DFF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Неуточнена медична практика</w:t>
            </w:r>
          </w:p>
        </w:tc>
      </w:tr>
      <w:tr w:rsidR="00072FF7" w:rsidRPr="00054673" w14:paraId="6742B399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871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HP.3.2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3966" w14:textId="77777777" w:rsidR="00072FF7" w:rsidRPr="00EC0E5A" w:rsidRDefault="00072FF7" w:rsidP="005972C4">
            <w:pPr>
              <w:tabs>
                <w:tab w:val="left" w:pos="3624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Dental practice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46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Стоматологічна практика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11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Стоматологічні кабінети (відділення)</w:t>
            </w:r>
          </w:p>
        </w:tc>
      </w:tr>
      <w:tr w:rsidR="00072FF7" w:rsidRPr="00054673" w14:paraId="5D228AAB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DD6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lastRenderedPageBreak/>
              <w:t>HP.3.3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D0B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Other health care practitioners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5C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медичні працівники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C4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Кабінети (відділення) інших працівників охорони здоров'я</w:t>
            </w:r>
          </w:p>
        </w:tc>
      </w:tr>
      <w:tr w:rsidR="00072FF7" w:rsidRPr="00054673" w14:paraId="519EFE7E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A44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HP.3.4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FAF" w14:textId="77777777" w:rsidR="00072FF7" w:rsidRPr="00EC0E5A" w:rsidRDefault="00072FF7" w:rsidP="005972C4">
            <w:pPr>
              <w:tabs>
                <w:tab w:val="left" w:pos="720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Ambulatory health care centres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88E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Центри амбулаторної допомоги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3DE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Центри амбулаторної допомоги</w:t>
            </w:r>
          </w:p>
        </w:tc>
      </w:tr>
      <w:tr w:rsidR="00072FF7" w:rsidRPr="00054673" w14:paraId="3CDA3490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025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HP.3.4.1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746A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Family planning centres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D0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Центри планування сім'ї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DB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Центри планування сім'ї</w:t>
            </w:r>
          </w:p>
        </w:tc>
      </w:tr>
      <w:tr w:rsidR="00072FF7" w:rsidRPr="00054673" w14:paraId="1A675318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5C6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HP.3.4.2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421F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Ambulatory mental health and substance abuse centres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38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Амбулаторні центри психічного здоров'я та наркозалежності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3A2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Амбулаторні установи для лікування психіатричних захворювань і алкогольної і наркотичної залежності</w:t>
            </w:r>
          </w:p>
        </w:tc>
      </w:tr>
      <w:tr w:rsidR="00072FF7" w:rsidRPr="00054673" w14:paraId="0CBE06DA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54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HP.3.4.3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9337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Free-standing ambulatory surgery centres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7E1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Відокремлені центри амбулаторної хірургії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514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Окремі центри амбулаторної хірургії</w:t>
            </w:r>
          </w:p>
        </w:tc>
      </w:tr>
      <w:tr w:rsidR="00072FF7" w:rsidRPr="00054673" w14:paraId="2A74EB2A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A3A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HP.3.4.4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C73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Dialysis care centres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F86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Центри діалізу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92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Центри діалізу</w:t>
            </w:r>
          </w:p>
        </w:tc>
      </w:tr>
      <w:tr w:rsidR="00072FF7" w:rsidRPr="00054673" w14:paraId="323CC7B1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769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HP.3.4.5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1C08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All other outpatient multi-specialty and cooperative service centres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452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Всі інші амбулаторні багатопрофільні центри по наданню комбінованих медичних послуг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F39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Всі інші амбулаторні багатопрофільні центри по наданню комбінованих медичних послуг</w:t>
            </w:r>
          </w:p>
        </w:tc>
      </w:tr>
      <w:tr w:rsidR="00072FF7" w:rsidRPr="00054673" w14:paraId="76CAE74E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90F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HP.3.4.9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22E3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All other ambulatory centres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244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Всі інші амбулаторні центри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C8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Всі інші амбулаторні центри</w:t>
            </w:r>
          </w:p>
        </w:tc>
      </w:tr>
      <w:tr w:rsidR="00072FF7" w:rsidRPr="00054673" w14:paraId="2672D38A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9EF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HP.</w:t>
            </w:r>
            <w:r w:rsidRPr="00054673">
              <w:rPr>
                <w:rFonts w:cs="Calibri"/>
                <w:sz w:val="24"/>
                <w:szCs w:val="24"/>
              </w:rPr>
              <w:t>3.4.9.1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08EF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General ambulatories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751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Загальні амбулаторії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88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Загальні амбулаторії</w:t>
            </w:r>
          </w:p>
        </w:tc>
      </w:tr>
      <w:tr w:rsidR="00072FF7" w:rsidRPr="00054673" w14:paraId="4DC5DABA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8D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HP.</w:t>
            </w:r>
            <w:r w:rsidRPr="00054673">
              <w:rPr>
                <w:rFonts w:cs="Calibri"/>
                <w:sz w:val="24"/>
                <w:szCs w:val="24"/>
              </w:rPr>
              <w:t>3.4.9.2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22BC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Specialized ambulatory care centres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585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Спеціалізовані центри амбулаторної допомоги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FDD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Спеціалізовані центри амбулаторної допомоги</w:t>
            </w:r>
          </w:p>
        </w:tc>
      </w:tr>
      <w:tr w:rsidR="00072FF7" w:rsidRPr="00054673" w14:paraId="28A69D47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F3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HP.</w:t>
            </w:r>
            <w:r w:rsidRPr="00054673">
              <w:rPr>
                <w:rFonts w:cs="Calibri"/>
                <w:sz w:val="24"/>
                <w:szCs w:val="24"/>
              </w:rPr>
              <w:t>3.4.9.3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1E5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Private ambulatories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7B2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Приватні амбулаторії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CB9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Приватні амбулаторії</w:t>
            </w:r>
          </w:p>
        </w:tc>
      </w:tr>
      <w:tr w:rsidR="00072FF7" w:rsidRPr="00054673" w14:paraId="557E4D53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677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HP.</w:t>
            </w:r>
            <w:r w:rsidRPr="00054673">
              <w:rPr>
                <w:rFonts w:cs="Calibri"/>
                <w:sz w:val="24"/>
                <w:szCs w:val="24"/>
              </w:rPr>
              <w:t>3.4.9.nec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FC52" w14:textId="29143D32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 xml:space="preserve">Other All Other ambulatory </w:t>
            </w:r>
            <w:r w:rsidR="00EC0E5A" w:rsidRPr="00EC0E5A">
              <w:rPr>
                <w:rFonts w:cs="Calibri"/>
                <w:sz w:val="24"/>
                <w:szCs w:val="24"/>
                <w:lang w:val="en-US"/>
              </w:rPr>
              <w:t>centr</w:t>
            </w:r>
            <w:r w:rsidR="004542C6">
              <w:rPr>
                <w:rFonts w:cs="Calibri"/>
                <w:sz w:val="24"/>
                <w:szCs w:val="24"/>
                <w:lang w:val="en-US"/>
              </w:rPr>
              <w:t>e</w:t>
            </w:r>
            <w:r w:rsidR="00EC0E5A" w:rsidRPr="00EC0E5A">
              <w:rPr>
                <w:rFonts w:cs="Calibri"/>
                <w:sz w:val="24"/>
                <w:szCs w:val="24"/>
                <w:lang w:val="en-US"/>
              </w:rPr>
              <w:t>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98F" w14:textId="77777777" w:rsidR="00072FF7" w:rsidRPr="00E53CA1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E53CA1">
              <w:rPr>
                <w:rFonts w:cs="Calibri"/>
                <w:sz w:val="24"/>
                <w:szCs w:val="24"/>
              </w:rPr>
              <w:t>Інші амбулаторні центри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187D" w14:textId="77777777" w:rsidR="00072FF7" w:rsidRPr="00E53CA1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E53CA1">
              <w:rPr>
                <w:rFonts w:cs="Calibri"/>
                <w:sz w:val="24"/>
                <w:szCs w:val="24"/>
              </w:rPr>
              <w:t>Інші амбулаторні центри</w:t>
            </w:r>
          </w:p>
        </w:tc>
      </w:tr>
      <w:tr w:rsidR="00072FF7" w:rsidRPr="00054673" w14:paraId="4DEABC29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1C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HP.3.5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E05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Providers of home health care services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E0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Постачальники медичних послуг на дому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75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Організації, що надають медичні послуги вдома</w:t>
            </w:r>
          </w:p>
        </w:tc>
      </w:tr>
      <w:tr w:rsidR="00072FF7" w:rsidRPr="00054673" w14:paraId="15F82A19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3A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HP.</w:t>
            </w:r>
            <w:r w:rsidRPr="00054673">
              <w:rPr>
                <w:rFonts w:cs="Calibri"/>
                <w:sz w:val="24"/>
                <w:szCs w:val="24"/>
              </w:rPr>
              <w:t>3.nec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F095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Unspecified providers of ambulatory health care (n.e.c.)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F7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Невизначені постачальники амбулаторної медичної допомоги (не включені)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D96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Невизначені постачальники амбулаторної медичної допомоги (не включені)</w:t>
            </w:r>
          </w:p>
        </w:tc>
      </w:tr>
      <w:tr w:rsidR="00072FF7" w:rsidRPr="00054673" w14:paraId="5A882537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C73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HP.4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636C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Providers of ancillary services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E30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Постачальники допоміжних послуг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5CC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Постачальники допоміжних послуг</w:t>
            </w:r>
          </w:p>
        </w:tc>
      </w:tr>
      <w:tr w:rsidR="00072FF7" w:rsidRPr="00054673" w14:paraId="0610F5E1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854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HP.4.1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80A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Providers of patient transportation and emergency rescue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92E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Постачальники транспортування пацієнтів та невідкладної допомоги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E2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Швидка допомога</w:t>
            </w:r>
          </w:p>
        </w:tc>
      </w:tr>
      <w:tr w:rsidR="00072FF7" w:rsidRPr="00054673" w14:paraId="1B1D4B85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EB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lastRenderedPageBreak/>
              <w:t>HP.4.2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2762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Medical and diagnostic laboratories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C57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Лікувально-діагностичні лабораторії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78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Лікувально-діагностичні лабораторії, банки крові</w:t>
            </w:r>
          </w:p>
        </w:tc>
      </w:tr>
      <w:tr w:rsidR="00072FF7" w:rsidRPr="00054673" w14:paraId="6A10AF87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FB9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HP.4.9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F1F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Other providers of ancillary services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01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постачальники допоміжних послуг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602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постачальники допоміжних послуг</w:t>
            </w:r>
          </w:p>
        </w:tc>
      </w:tr>
      <w:tr w:rsidR="00072FF7" w:rsidRPr="00054673" w14:paraId="66AB91FE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57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A35E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Retailers and other providers of medical goods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58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Роздрібні торговці та інші постачальники медичних товарів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C7B8" w14:textId="091879D4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Роздрібний продаж та інші по</w:t>
            </w:r>
            <w:r w:rsidR="001564DF">
              <w:rPr>
                <w:rFonts w:cs="Calibri"/>
                <w:sz w:val="24"/>
                <w:szCs w:val="24"/>
                <w:lang w:eastAsia="ru-RU" w:bidi="hi-IN"/>
              </w:rPr>
              <w:t>с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тачальники медичних товарів</w:t>
            </w:r>
          </w:p>
        </w:tc>
      </w:tr>
      <w:tr w:rsidR="00072FF7" w:rsidRPr="00054673" w14:paraId="0C3E1015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A74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HP.5.1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E947" w14:textId="77777777" w:rsidR="00072FF7" w:rsidRPr="00EC0E5A" w:rsidRDefault="00072FF7" w:rsidP="005972C4">
            <w:pPr>
              <w:tabs>
                <w:tab w:val="left" w:pos="720"/>
                <w:tab w:val="left" w:pos="3144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Pharmacies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F40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Аптеки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2F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Аптеки</w:t>
            </w:r>
          </w:p>
        </w:tc>
      </w:tr>
      <w:tr w:rsidR="00072FF7" w:rsidRPr="00054673" w14:paraId="1B70DC87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AA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HP.5.2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7B71" w14:textId="77777777" w:rsidR="00072FF7" w:rsidRPr="00EC0E5A" w:rsidRDefault="00072FF7" w:rsidP="005972C4">
            <w:pPr>
              <w:tabs>
                <w:tab w:val="left" w:pos="1320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Retail sellers and other suppliers of durable medical goods and medical appliances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6D2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Роздрібні продавці та інші постачальники медичних товарів тривалого користування та медичної техніки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29F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Роздрібний продаж та інші постачальники медичних товарів тривалого користування та медичної техніки</w:t>
            </w:r>
          </w:p>
        </w:tc>
      </w:tr>
      <w:tr w:rsidR="00072FF7" w:rsidRPr="00054673" w14:paraId="6C5D75D7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E63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HP.5.9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DD0" w14:textId="77777777" w:rsidR="00072FF7" w:rsidRPr="00EC0E5A" w:rsidRDefault="00072FF7" w:rsidP="005972C4">
            <w:pPr>
              <w:tabs>
                <w:tab w:val="left" w:pos="1320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All other miscellaneous sellers and other suppliers of pharmaceuticals and medical goods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D73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Усі інші продавці та інші постачальники фармацевтичних препаратів та медичних товарів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47D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Продаж іншої продукції та інші постачальники фармацевтичних або медичних товарів</w:t>
            </w:r>
          </w:p>
        </w:tc>
      </w:tr>
      <w:tr w:rsidR="00072FF7" w:rsidRPr="00054673" w14:paraId="1DF03A31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B38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77B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Providers of preventive care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451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Надавачі профілактичної допомоги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464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Постачальники профілактичної допомоги</w:t>
            </w:r>
          </w:p>
        </w:tc>
      </w:tr>
      <w:tr w:rsidR="00072FF7" w:rsidRPr="00054673" w14:paraId="052A4986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2D1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HP. 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32E" w14:textId="77777777" w:rsidR="00072FF7" w:rsidRPr="00EC0E5A" w:rsidRDefault="00072FF7" w:rsidP="005972C4">
            <w:pPr>
              <w:tabs>
                <w:tab w:val="left" w:pos="4800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Providers of health care system administration and financing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3B8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Провайдери адміністрування та фінансування системи охорони здоров'я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60C6" w14:textId="77777777" w:rsidR="00072FF7" w:rsidRPr="00584B17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584B17">
              <w:rPr>
                <w:rFonts w:cs="Calibri"/>
                <w:sz w:val="24"/>
                <w:szCs w:val="24"/>
                <w:lang w:eastAsia="ru-RU" w:bidi="hi-IN"/>
              </w:rPr>
              <w:t>Державне керівництво систем</w:t>
            </w:r>
            <w:r w:rsidRPr="00584B17">
              <w:rPr>
                <w:rFonts w:cs="Calibri"/>
                <w:sz w:val="24"/>
                <w:szCs w:val="24"/>
                <w:lang w:val="ru-RU" w:eastAsia="ru-RU" w:bidi="hi-IN"/>
              </w:rPr>
              <w:t>о</w:t>
            </w:r>
            <w:r w:rsidRPr="00584B17">
              <w:rPr>
                <w:rFonts w:cs="Calibri"/>
                <w:sz w:val="24"/>
                <w:szCs w:val="24"/>
                <w:lang w:eastAsia="ru-RU" w:bidi="hi-IN"/>
              </w:rPr>
              <w:t>ю охорони здоров'я</w:t>
            </w:r>
          </w:p>
        </w:tc>
      </w:tr>
      <w:tr w:rsidR="00072FF7" w:rsidRPr="00054673" w14:paraId="5AA650A7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58F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</w:t>
            </w: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7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.1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F4C6" w14:textId="77777777" w:rsidR="00072FF7" w:rsidRPr="00EC0E5A" w:rsidRDefault="00072FF7" w:rsidP="005972C4">
            <w:pPr>
              <w:tabs>
                <w:tab w:val="left" w:pos="4800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Government health administration agencies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040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Державні органи управління охороною здоров'я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D6B" w14:textId="77777777" w:rsidR="00072FF7" w:rsidRPr="00584B17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584B17">
              <w:rPr>
                <w:rFonts w:cs="Calibri"/>
                <w:sz w:val="24"/>
                <w:szCs w:val="24"/>
                <w:lang w:eastAsia="ru-RU" w:bidi="hi-IN"/>
              </w:rPr>
              <w:t>Державн</w:t>
            </w:r>
            <w:r w:rsidRPr="00584B17">
              <w:rPr>
                <w:rFonts w:cs="Calibri"/>
                <w:sz w:val="24"/>
                <w:szCs w:val="24"/>
                <w:lang w:val="ru-RU" w:eastAsia="ru-RU" w:bidi="hi-IN"/>
              </w:rPr>
              <w:t>і</w:t>
            </w:r>
            <w:r w:rsidRPr="00584B17">
              <w:rPr>
                <w:rFonts w:cs="Calibri"/>
                <w:sz w:val="24"/>
                <w:szCs w:val="24"/>
                <w:lang w:eastAsia="ru-RU" w:bidi="hi-IN"/>
              </w:rPr>
              <w:t xml:space="preserve"> органи управління охороною здоров'я</w:t>
            </w:r>
          </w:p>
        </w:tc>
      </w:tr>
      <w:tr w:rsidR="00072FF7" w:rsidRPr="00054673" w14:paraId="3EFAF453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0E4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</w:t>
            </w: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7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.2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98E" w14:textId="77777777" w:rsidR="00072FF7" w:rsidRPr="00EC0E5A" w:rsidRDefault="00072FF7" w:rsidP="005972C4">
            <w:pPr>
              <w:tabs>
                <w:tab w:val="left" w:pos="720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Social health insurance agencies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938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Агенції соціального медичного страхування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DEA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Фонди соціального страхування</w:t>
            </w:r>
          </w:p>
        </w:tc>
      </w:tr>
      <w:tr w:rsidR="00072FF7" w:rsidRPr="00054673" w14:paraId="0E05ECC4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D73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</w:t>
            </w: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7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.</w:t>
            </w: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2242" w14:textId="77777777" w:rsidR="00072FF7" w:rsidRPr="00EC0E5A" w:rsidRDefault="00072FF7" w:rsidP="005972C4">
            <w:pPr>
              <w:tabs>
                <w:tab w:val="left" w:pos="720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Private health insurance administration agencies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08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Приватні установи медичного страхування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3F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Інше соціальне страхування</w:t>
            </w:r>
          </w:p>
        </w:tc>
      </w:tr>
      <w:tr w:rsidR="00072FF7" w:rsidRPr="00054673" w14:paraId="786C4953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77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</w:t>
            </w: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7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.9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74D" w14:textId="77777777" w:rsidR="00072FF7" w:rsidRPr="00EC0E5A" w:rsidRDefault="00072FF7" w:rsidP="005972C4">
            <w:pPr>
              <w:tabs>
                <w:tab w:val="left" w:pos="720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Other administration agencies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93F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ru-RU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органи управління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218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highlight w:val="yellow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Всі інші організації керівництва охороною здоров'я</w:t>
            </w:r>
          </w:p>
        </w:tc>
      </w:tr>
      <w:tr w:rsidR="00072FF7" w:rsidRPr="00054673" w14:paraId="7C9EEC71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D1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8890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Rest of economy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BAE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Решта економіки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16E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сектори економіки</w:t>
            </w:r>
          </w:p>
        </w:tc>
      </w:tr>
      <w:tr w:rsidR="00072FF7" w:rsidRPr="00054673" w14:paraId="540277B4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984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HP.8.1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F28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Households as providers of home health care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196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Домогосподарства як надавачі медичної допомоги вдома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CC3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Домогосподарства як надавачі медичної допомоги вдома</w:t>
            </w:r>
          </w:p>
        </w:tc>
      </w:tr>
      <w:tr w:rsidR="00072FF7" w:rsidRPr="00054673" w14:paraId="7462397D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BC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HP.8.2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07B2" w14:textId="77777777" w:rsidR="00072FF7" w:rsidRPr="00EC0E5A" w:rsidRDefault="00072FF7" w:rsidP="005972C4">
            <w:pPr>
              <w:tabs>
                <w:tab w:val="left" w:pos="720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All other industries as secondary providers of health care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67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Всі інші галузі як  вторинні постачальники медичної допомоги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F6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Всі інші галузі як  вторинні постачальники медичної допомоги</w:t>
            </w:r>
          </w:p>
        </w:tc>
      </w:tr>
      <w:tr w:rsidR="00072FF7" w:rsidRPr="00054673" w14:paraId="0A8D9BD1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5DA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lastRenderedPageBreak/>
              <w:t>HP.</w:t>
            </w:r>
            <w:r w:rsidRPr="00054673">
              <w:rPr>
                <w:rFonts w:cs="Calibri"/>
                <w:sz w:val="24"/>
                <w:szCs w:val="24"/>
              </w:rPr>
              <w:t>8.3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C994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Community health workers (or village health worker, community health aide, etc.)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FAA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Громадські медичні працівники (або сільські медичні працівники, громадські медичні працівники тощо)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870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Громадські медичні працівники (або сільські медичні працівники</w:t>
            </w:r>
            <w:r w:rsidRPr="00FD7FBF">
              <w:rPr>
                <w:rFonts w:cs="Calibri"/>
                <w:sz w:val="24"/>
                <w:szCs w:val="24"/>
                <w:lang w:eastAsia="ru-RU" w:bidi="hi-IN"/>
              </w:rPr>
              <w:t xml:space="preserve"> 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тощо)</w:t>
            </w:r>
          </w:p>
        </w:tc>
      </w:tr>
      <w:tr w:rsidR="00072FF7" w:rsidRPr="00054673" w14:paraId="48BF3756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61F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highlight w:val="yellow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HP.8.9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0DAE" w14:textId="127D971C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Other industries n.e.</w:t>
            </w:r>
            <w:r w:rsidR="001564DF">
              <w:rPr>
                <w:rFonts w:cs="Calibri"/>
                <w:sz w:val="24"/>
                <w:szCs w:val="24"/>
                <w:lang w:val="en-US" w:eastAsia="ru-RU" w:bidi="hi-IN"/>
              </w:rPr>
              <w:t>c.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B0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галузі, не включені до інших угрупувань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EE4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галузі, не включені до інших угрупувань</w:t>
            </w:r>
          </w:p>
        </w:tc>
      </w:tr>
      <w:tr w:rsidR="00072FF7" w:rsidRPr="00054673" w14:paraId="3440B219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48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HP.9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9D6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Rest of the world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403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Інший світ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DA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Інший світ</w:t>
            </w:r>
          </w:p>
        </w:tc>
      </w:tr>
      <w:tr w:rsidR="00072FF7" w:rsidRPr="00054673" w14:paraId="0ECA0598" w14:textId="77777777" w:rsidTr="005972C4">
        <w:trPr>
          <w:cantSplit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2EE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iCs/>
                <w:sz w:val="24"/>
                <w:szCs w:val="24"/>
                <w:highlight w:val="cyan"/>
                <w:lang w:val="en-US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HP.</w:t>
            </w:r>
            <w:r w:rsidRPr="00054673">
              <w:rPr>
                <w:rFonts w:cs="Calibri"/>
                <w:sz w:val="24"/>
                <w:szCs w:val="24"/>
              </w:rPr>
              <w:t>nec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ABEF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Unspecified health care providers (n.e.c.)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E35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iCs/>
                <w:sz w:val="24"/>
                <w:szCs w:val="24"/>
                <w:lang w:eastAsia="ru-RU" w:bidi="hi-IN"/>
              </w:rPr>
              <w:t>Невизначені постачальники медичних послуг (н.к.)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443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iCs/>
                <w:sz w:val="24"/>
                <w:szCs w:val="24"/>
                <w:lang w:eastAsia="ru-RU" w:bidi="hi-IN"/>
              </w:rPr>
              <w:t>Невизначені постачальники медичних послуг</w:t>
            </w:r>
          </w:p>
        </w:tc>
      </w:tr>
    </w:tbl>
    <w:p w14:paraId="77454566" w14:textId="77777777" w:rsidR="00072FF7" w:rsidRPr="001E72A1" w:rsidRDefault="00072FF7" w:rsidP="00B10B60">
      <w:pPr>
        <w:spacing w:after="0" w:line="240" w:lineRule="auto"/>
        <w:rPr>
          <w:rFonts w:ascii="Times New Roman" w:hAnsi="Times New Roman" w:cs="Mangal"/>
          <w:sz w:val="24"/>
          <w:szCs w:val="24"/>
          <w:lang w:eastAsia="ru-RU" w:bidi="hi-IN"/>
        </w:rPr>
      </w:pPr>
    </w:p>
    <w:p w14:paraId="37844833" w14:textId="77777777" w:rsidR="00072FF7" w:rsidRPr="001E72A1" w:rsidRDefault="00072FF7" w:rsidP="00B10B60">
      <w:pPr>
        <w:spacing w:after="0" w:line="240" w:lineRule="auto"/>
        <w:rPr>
          <w:rFonts w:ascii="Times New Roman" w:hAnsi="Times New Roman" w:cs="Mangal"/>
          <w:sz w:val="24"/>
          <w:szCs w:val="24"/>
          <w:lang w:eastAsia="ru-RU" w:bidi="hi-IN"/>
        </w:rPr>
      </w:pPr>
    </w:p>
    <w:p w14:paraId="68D2A6F7" w14:textId="77777777" w:rsidR="00072FF7" w:rsidRPr="001E72A1" w:rsidRDefault="00072FF7" w:rsidP="00B10B60">
      <w:pPr>
        <w:keepNext/>
        <w:spacing w:after="0" w:line="240" w:lineRule="auto"/>
        <w:jc w:val="both"/>
        <w:outlineLvl w:val="1"/>
        <w:rPr>
          <w:rFonts w:ascii="Times New Roman" w:hAnsi="Times New Roman" w:cs="Mangal"/>
          <w:sz w:val="28"/>
          <w:szCs w:val="28"/>
          <w:lang w:eastAsia="ru-RU" w:bidi="hi-IN"/>
        </w:rPr>
      </w:pPr>
      <w:r w:rsidRPr="001E72A1">
        <w:rPr>
          <w:rFonts w:ascii="Times New Roman" w:hAnsi="Times New Roman" w:cs="Mangal"/>
          <w:sz w:val="28"/>
          <w:szCs w:val="28"/>
          <w:lang w:eastAsia="ru-RU" w:bidi="hi-IN"/>
        </w:rPr>
        <w:t>Функції</w:t>
      </w:r>
      <w:r w:rsidRPr="00354D25">
        <w:rPr>
          <w:rFonts w:ascii="Times New Roman" w:hAnsi="Times New Roman" w:cs="Mangal"/>
          <w:sz w:val="28"/>
          <w:szCs w:val="28"/>
          <w:lang w:val="ru-RU" w:eastAsia="ru-RU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val="ru-RU" w:eastAsia="ru-RU" w:bidi="hi-IN"/>
        </w:rPr>
        <w:t>охорони здоров</w:t>
      </w:r>
      <w:r w:rsidRPr="00354D25">
        <w:rPr>
          <w:rFonts w:ascii="Times New Roman" w:hAnsi="Times New Roman" w:cs="Mangal"/>
          <w:sz w:val="28"/>
          <w:szCs w:val="28"/>
          <w:lang w:val="ru-RU" w:eastAsia="ru-RU" w:bidi="hi-IN"/>
        </w:rPr>
        <w:t>’</w:t>
      </w:r>
      <w:r>
        <w:rPr>
          <w:rFonts w:ascii="Times New Roman" w:hAnsi="Times New Roman" w:cs="Mangal"/>
          <w:sz w:val="28"/>
          <w:szCs w:val="28"/>
          <w:lang w:eastAsia="ru-RU" w:bidi="hi-IN"/>
        </w:rPr>
        <w:t xml:space="preserve">я </w:t>
      </w:r>
      <w:r w:rsidRPr="002C7A30">
        <w:rPr>
          <w:rFonts w:ascii="Times New Roman" w:hAnsi="Times New Roman" w:cs="Mangal"/>
          <w:sz w:val="28"/>
          <w:szCs w:val="28"/>
          <w:lang w:eastAsia="ru-RU" w:bidi="hi-IN"/>
        </w:rPr>
        <w:t>(HC)</w:t>
      </w:r>
    </w:p>
    <w:p w14:paraId="745C34C8" w14:textId="77777777" w:rsidR="00072FF7" w:rsidRPr="001E72A1" w:rsidRDefault="00072FF7" w:rsidP="00B10B60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eastAsia="ru-RU" w:bidi="hi-I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94"/>
        <w:gridCol w:w="2627"/>
        <w:gridCol w:w="2654"/>
        <w:gridCol w:w="2654"/>
      </w:tblGrid>
      <w:tr w:rsidR="00072FF7" w:rsidRPr="00054673" w14:paraId="492690B9" w14:textId="77777777" w:rsidTr="005972C4">
        <w:trPr>
          <w:cantSplit/>
          <w:tblHeader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61E1CF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bidi="hi-IN"/>
              </w:rPr>
            </w:pPr>
            <w:bookmarkStart w:id="1" w:name="_Hlk101425306"/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Код угрупування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206D23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eastAsia="ru-RU"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Опис угрупування</w:t>
            </w:r>
          </w:p>
          <w:p w14:paraId="75078E42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(міжнародна категорія)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E9832C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eastAsia="ru-RU"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Опис угрупування</w:t>
            </w:r>
          </w:p>
          <w:p w14:paraId="4259F8F0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>(дослівний переклад)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FF3BF" w14:textId="77777777" w:rsidR="00072FF7" w:rsidRPr="004F53E3" w:rsidRDefault="00072FF7" w:rsidP="005972C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bidi="hi-IN"/>
              </w:rPr>
            </w:pPr>
            <w:r w:rsidRPr="004F53E3">
              <w:rPr>
                <w:rFonts w:ascii="Times New Roman" w:hAnsi="Times New Roman" w:cs="Mangal"/>
                <w:b/>
                <w:bCs/>
                <w:lang w:eastAsia="ru-RU" w:bidi="hi-IN"/>
              </w:rPr>
              <w:t xml:space="preserve">Національне визначення угрупування </w:t>
            </w:r>
          </w:p>
        </w:tc>
      </w:tr>
      <w:bookmarkEnd w:id="1"/>
      <w:tr w:rsidR="00072FF7" w:rsidRPr="00054673" w14:paraId="1F90D005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D4BC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0DBB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Curative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AC2F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Лікувальний догляд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41C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Послуги по лікуванню</w:t>
            </w:r>
          </w:p>
        </w:tc>
      </w:tr>
      <w:tr w:rsidR="00072FF7" w:rsidRPr="00054673" w14:paraId="2944C2BC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0BFD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HC.1.1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6EA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Inpatient curative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7D14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Стаціонарне лікування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B95" w14:textId="77777777" w:rsidR="00072FF7" w:rsidRPr="00054673" w:rsidRDefault="00072FF7" w:rsidP="005972C4">
            <w:pPr>
              <w:tabs>
                <w:tab w:val="left" w:pos="1440"/>
              </w:tabs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Стаціонарне лікування</w:t>
            </w:r>
          </w:p>
        </w:tc>
      </w:tr>
      <w:tr w:rsidR="00072FF7" w:rsidRPr="00054673" w14:paraId="2DAED6B0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66A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highlight w:val="lightGray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HC.1.1.1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3C5B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highlight w:val="lightGray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General inpatient curative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C8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highlight w:val="lightGray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Загальне стаціонарне лікування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8F6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highlight w:val="lightGray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Загальне стаціонарне лікування</w:t>
            </w:r>
          </w:p>
        </w:tc>
      </w:tr>
      <w:tr w:rsidR="00072FF7" w:rsidRPr="00054673" w14:paraId="320EDC48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71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highlight w:val="lightGray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HC.1.1.2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1759" w14:textId="0A3B7FA6" w:rsidR="00072FF7" w:rsidRPr="00EC0E5A" w:rsidRDefault="00EC0E5A" w:rsidP="005972C4">
            <w:pPr>
              <w:spacing w:after="0" w:line="240" w:lineRule="auto"/>
              <w:rPr>
                <w:rFonts w:cs="Calibri"/>
                <w:sz w:val="24"/>
                <w:szCs w:val="24"/>
                <w:highlight w:val="lightGray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Specialized</w:t>
            </w:r>
            <w:r w:rsidR="00072FF7" w:rsidRPr="00EC0E5A">
              <w:rPr>
                <w:rFonts w:cs="Calibri"/>
                <w:sz w:val="24"/>
                <w:szCs w:val="24"/>
                <w:lang w:val="en-US" w:eastAsia="ru-RU" w:bidi="hi-IN"/>
              </w:rPr>
              <w:t xml:space="preserve"> inpatient curative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AAC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highlight w:val="lightGray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Спеціалізована стаціонарна лікувальна допомога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F21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highlight w:val="lightGray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Спеціалізована стаціонарна лікувальна допомога</w:t>
            </w:r>
          </w:p>
        </w:tc>
      </w:tr>
      <w:tr w:rsidR="00072FF7" w:rsidRPr="00054673" w14:paraId="7826A374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90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HC.</w:t>
            </w:r>
            <w:r w:rsidRPr="00054673">
              <w:t>1.1.nec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A756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lang w:val="en-US"/>
              </w:rPr>
              <w:t>Unspecified inpatient curative care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675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Неуточнена стаціонарна лікувальна допомога (н.к.)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009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Неуточнена стаціонарна лікувальна допомога</w:t>
            </w:r>
          </w:p>
        </w:tc>
      </w:tr>
      <w:tr w:rsidR="00072FF7" w:rsidRPr="00054673" w14:paraId="40425B11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9F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HC.1.2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514D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Day curative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DF3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Денний лікувальний догляд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47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Лікування в денному стаціонарі</w:t>
            </w:r>
          </w:p>
        </w:tc>
      </w:tr>
      <w:tr w:rsidR="00072FF7" w:rsidRPr="00054673" w14:paraId="068DEFDD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07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HC.1.2.1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4F90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General day curative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0AF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Загальний денний лікувальний догляд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CD1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Загальний денний лікувальний догляд</w:t>
            </w:r>
          </w:p>
        </w:tc>
      </w:tr>
      <w:tr w:rsidR="00072FF7" w:rsidRPr="00054673" w14:paraId="50B8FD5E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9D5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HC.1.2.2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0B52" w14:textId="55A1FF74" w:rsidR="00072FF7" w:rsidRPr="00EC0E5A" w:rsidRDefault="00EC0E5A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Specialized</w:t>
            </w:r>
            <w:r w:rsidR="00072FF7" w:rsidRPr="00EC0E5A">
              <w:rPr>
                <w:rFonts w:cs="Calibri"/>
                <w:sz w:val="24"/>
                <w:szCs w:val="24"/>
                <w:lang w:val="en-US" w:eastAsia="ru-RU" w:bidi="hi-IN"/>
              </w:rPr>
              <w:t xml:space="preserve"> day curative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EDC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Спеціалізований денний лікувальний догляд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C75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Спеціалізований денний лікувальний догляд</w:t>
            </w:r>
          </w:p>
        </w:tc>
      </w:tr>
      <w:tr w:rsidR="00072FF7" w:rsidRPr="00054673" w14:paraId="5CBE7CD3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1C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HC.</w:t>
            </w:r>
            <w:r w:rsidRPr="00054673">
              <w:t>1.2.nec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4000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lang w:val="en-US"/>
              </w:rPr>
              <w:t>Unspecified day curative care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FF0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Неуточнений денний лікувальний догляд (н.к.)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D1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Неуточнений денний лікувальний догляд </w:t>
            </w:r>
          </w:p>
        </w:tc>
      </w:tr>
      <w:tr w:rsidR="00072FF7" w:rsidRPr="00054673" w14:paraId="04FCD293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C3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HC.1.3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BA21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Outpatient curative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48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Амбулаторне лікування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6F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Амбулаторне лікування</w:t>
            </w:r>
          </w:p>
        </w:tc>
      </w:tr>
      <w:tr w:rsidR="00072FF7" w:rsidRPr="00054673" w14:paraId="4494C192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110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HC.1.3.1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BF74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General outpatient curative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D2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Загальна амбулаторна лікувальна допомога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D7F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Загальна амбулаторна лікувальна допомога</w:t>
            </w:r>
          </w:p>
        </w:tc>
      </w:tr>
      <w:tr w:rsidR="00072FF7" w:rsidRPr="00054673" w14:paraId="31D976D8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9A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HC.1.3.2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5C2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Outpatient dental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19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Амбулаторне стоматологічне лікування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7B0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Амбулаторне стоматологічне лікування</w:t>
            </w:r>
          </w:p>
        </w:tc>
      </w:tr>
      <w:tr w:rsidR="00072FF7" w:rsidRPr="00054673" w14:paraId="51B37624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D2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lastRenderedPageBreak/>
              <w:t>HC.1.3.3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D1D3" w14:textId="60D0DE49" w:rsidR="00072FF7" w:rsidRPr="00EC0E5A" w:rsidRDefault="00EC0E5A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Specialized</w:t>
            </w:r>
            <w:r w:rsidR="00072FF7" w:rsidRPr="00EC0E5A">
              <w:rPr>
                <w:rFonts w:cs="Calibri"/>
                <w:sz w:val="24"/>
                <w:szCs w:val="24"/>
                <w:lang w:val="en-US" w:eastAsia="ru-RU" w:bidi="hi-IN"/>
              </w:rPr>
              <w:t xml:space="preserve"> outpatient curative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8C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Спеціалізована амбулаторна лікувальна допомога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DEC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Спеціалізована амбулаторна лікувальна допомога</w:t>
            </w:r>
          </w:p>
        </w:tc>
      </w:tr>
      <w:tr w:rsidR="00072FF7" w:rsidRPr="00054673" w14:paraId="71174C52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2FC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HC.</w:t>
            </w:r>
            <w:r w:rsidRPr="00054673">
              <w:t>1.3.nec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9474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lang w:val="en-US"/>
              </w:rPr>
              <w:t>Unspecified outpatient curative care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FCF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Неуточнена амбулаторна лікувальна допомога (н.к.)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170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Неуточнена амбулаторна лікувальна допомога </w:t>
            </w:r>
          </w:p>
        </w:tc>
      </w:tr>
      <w:tr w:rsidR="00072FF7" w:rsidRPr="00054673" w14:paraId="40D59D12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CB6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HC.1.4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A0DB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Home-based curative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D01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Лікувальна допомога в домашніх умовах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F19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Послуги лікування вдома</w:t>
            </w:r>
          </w:p>
        </w:tc>
      </w:tr>
      <w:tr w:rsidR="00072FF7" w:rsidRPr="00054673" w14:paraId="0DB8C4CD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15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HC.</w:t>
            </w:r>
            <w:r w:rsidRPr="00054673">
              <w:t>1.nec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737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lang w:val="en-US"/>
              </w:rPr>
              <w:t>Unspecified curative care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18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Неуточнений лікувальний догляд (н.к.)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F0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Неуточнений лікувальний догляд </w:t>
            </w:r>
          </w:p>
        </w:tc>
      </w:tr>
      <w:tr w:rsidR="00072FF7" w:rsidRPr="00054673" w14:paraId="02136943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B6B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7A2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Rehabilitative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486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Реабілітаційний догляд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70F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Послуги реабілітаційного лікування</w:t>
            </w:r>
          </w:p>
        </w:tc>
      </w:tr>
      <w:tr w:rsidR="00072FF7" w:rsidRPr="00054673" w14:paraId="2563834A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08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HC.2.1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5EF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Inpatient rehabilitative carе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B8F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Стаціонарна реабілітаційна допомога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BF15" w14:textId="5B9B2ABB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Реабілітаційна </w:t>
            </w:r>
            <w:r w:rsidRPr="00FD7FBF">
              <w:rPr>
                <w:rFonts w:cs="Calibri"/>
                <w:sz w:val="24"/>
                <w:szCs w:val="24"/>
                <w:lang w:eastAsia="ru-RU" w:bidi="hi-IN"/>
              </w:rPr>
              <w:t>допомога,</w:t>
            </w:r>
            <w:r w:rsidRPr="00FD7FBF">
              <w:rPr>
                <w:rFonts w:cs="Calibri"/>
                <w:sz w:val="24"/>
                <w:szCs w:val="24"/>
                <w:lang w:val="en-US" w:eastAsia="ru-RU" w:bidi="hi-IN"/>
              </w:rPr>
              <w:t xml:space="preserve"> </w:t>
            </w:r>
            <w:r w:rsidR="0040418F" w:rsidRPr="00FD7FBF">
              <w:rPr>
                <w:rFonts w:cs="Calibri"/>
                <w:sz w:val="24"/>
                <w:szCs w:val="24"/>
                <w:lang w:eastAsia="ru-RU" w:bidi="hi-IN"/>
              </w:rPr>
              <w:t>санаторні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 послуги</w:t>
            </w:r>
          </w:p>
        </w:tc>
      </w:tr>
      <w:tr w:rsidR="00072FF7" w:rsidRPr="00054673" w14:paraId="297B2103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6E9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HC.2.2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A135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Day rehabilitative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20D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Денний реабілітаційний догляд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62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Денний реабілітаційний догляд</w:t>
            </w:r>
          </w:p>
        </w:tc>
      </w:tr>
      <w:tr w:rsidR="00072FF7" w:rsidRPr="00054673" w14:paraId="1351D56F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39D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HC.2.3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FCEF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Outpatient rehabilitative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05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Амбулаторна реабілітаційна допомога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219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Амбулаторна реабілітаційна допомога</w:t>
            </w:r>
          </w:p>
        </w:tc>
      </w:tr>
      <w:tr w:rsidR="00072FF7" w:rsidRPr="00054673" w14:paraId="6C6370E6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78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HC.2.4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6DA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Home-based rehabilitative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8FB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Реабілітаційна допомога на дому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7A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Реабілітаційна допомога на дому</w:t>
            </w:r>
          </w:p>
        </w:tc>
      </w:tr>
      <w:tr w:rsidR="00072FF7" w:rsidRPr="00054673" w14:paraId="14AC71C0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99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HC.</w:t>
            </w:r>
            <w:r w:rsidRPr="00054673">
              <w:t>2.nec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C7BE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lang w:val="en-US"/>
              </w:rPr>
              <w:t>Unspecified rehabilitative care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09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Неуточнена реабілітаційна допомога (н.е.к.)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2FD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Неуточнена реабілітаційна допомога </w:t>
            </w:r>
          </w:p>
        </w:tc>
      </w:tr>
      <w:tr w:rsidR="00072FF7" w:rsidRPr="00054673" w14:paraId="5BCCA404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850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32CF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Long-term care (health)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242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Тривалий догляд (здоров'я)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279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highlight w:val="yellow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Послуги тривалого сестринського догляду</w:t>
            </w:r>
          </w:p>
        </w:tc>
      </w:tr>
      <w:tr w:rsidR="00072FF7" w:rsidRPr="00054673" w14:paraId="1BAF276B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C1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HC.3.1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1A3" w14:textId="77777777" w:rsidR="00072FF7" w:rsidRPr="00EC0E5A" w:rsidRDefault="00072FF7" w:rsidP="005972C4">
            <w:pPr>
              <w:tabs>
                <w:tab w:val="left" w:pos="4488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Inpatient long-term care (health)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1EC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Стаціонарний довготривалий догляд (здоров'я)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051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Стаціонарний довгостроковий сестринський догляд</w:t>
            </w:r>
          </w:p>
        </w:tc>
      </w:tr>
      <w:tr w:rsidR="00072FF7" w:rsidRPr="00054673" w14:paraId="38404AE1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ED5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HC.3.2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8A8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Day long-term care (health)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FE0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Денний довготривалий догляд (здоров'я)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589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Довгостроковий сестринський догляд у денному стаціонарі</w:t>
            </w:r>
          </w:p>
        </w:tc>
      </w:tr>
      <w:tr w:rsidR="00072FF7" w:rsidRPr="00054673" w14:paraId="201A092B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6E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HC.3.3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C4B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Outpatient long-term care (health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A88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Амбулаторна довготривала допомога (охорона здоров’я)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2B3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Амбулаторна довготривала допомога (охорона здоров’я)</w:t>
            </w:r>
          </w:p>
        </w:tc>
      </w:tr>
      <w:tr w:rsidR="00072FF7" w:rsidRPr="00054673" w14:paraId="5B2C8777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79D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HC.3.4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B798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Home-based long-term care (health)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2C8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Тривалий догляд на дому (здоров'я)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0B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Тривалий догляд на дому (здоров'я)</w:t>
            </w:r>
          </w:p>
        </w:tc>
      </w:tr>
      <w:tr w:rsidR="00072FF7" w:rsidRPr="00054673" w14:paraId="5EEC7706" w14:textId="77777777" w:rsidTr="005972C4">
        <w:trPr>
          <w:cantSplit/>
          <w:trHeight w:val="26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66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HC.</w:t>
            </w:r>
            <w:r w:rsidRPr="00054673">
              <w:t>3.nec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554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lang w:val="en-US"/>
              </w:rPr>
              <w:t>Unspecified long-term care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9A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Невизначений довготривалий догляд (н.к.)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A9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Невизначений довготривалий догляд</w:t>
            </w:r>
          </w:p>
        </w:tc>
      </w:tr>
      <w:tr w:rsidR="00072FF7" w:rsidRPr="00054673" w14:paraId="4E1350FB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FA0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lastRenderedPageBreak/>
              <w:t>HC.4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22B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Ancillary services (non-specified by function)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F43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Допоміжні послуги (не визначені функцією)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F80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Допоміжні послуги (не визначені функцією)</w:t>
            </w:r>
          </w:p>
        </w:tc>
      </w:tr>
      <w:tr w:rsidR="00072FF7" w:rsidRPr="00054673" w14:paraId="35D92AAD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9F0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HC.4.1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9978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Laboratory services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5B9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Лабораторні послуги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CF9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Лабораторні послуги</w:t>
            </w:r>
          </w:p>
        </w:tc>
      </w:tr>
      <w:tr w:rsidR="00072FF7" w:rsidRPr="00054673" w14:paraId="51CB6ABC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FF9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HC.4.2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4942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Imaging services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424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Послуги обробки зображень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E8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Послуги обробки зображень</w:t>
            </w:r>
          </w:p>
        </w:tc>
      </w:tr>
      <w:tr w:rsidR="00072FF7" w:rsidRPr="00054673" w14:paraId="69A26D16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A04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HC.4.3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EBF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Patient transportation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782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Транспортування пацієнтів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D9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Транспортування пацієнтів </w:t>
            </w:r>
          </w:p>
        </w:tc>
      </w:tr>
      <w:tr w:rsidR="00072FF7" w:rsidRPr="00054673" w14:paraId="220FC6DA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D94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HC.</w:t>
            </w:r>
            <w:r w:rsidRPr="00054673">
              <w:t>4.nec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7567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lang w:val="en-US"/>
              </w:rPr>
              <w:t>Unspecified ancillary services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68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Невизначені допоміжні послуги (н.к.)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F55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Невизначені допоміжні послуги </w:t>
            </w:r>
          </w:p>
        </w:tc>
      </w:tr>
      <w:tr w:rsidR="00072FF7" w:rsidRPr="00054673" w14:paraId="1388EE81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E2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192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Medical goods (non-specified by function)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1B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Медичні вироби (не визначені за функцією)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F0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FD7FBF">
              <w:rPr>
                <w:rFonts w:cs="Calibri"/>
                <w:sz w:val="24"/>
                <w:szCs w:val="24"/>
                <w:lang w:eastAsia="ru-RU" w:bidi="hi-IN"/>
              </w:rPr>
              <w:t xml:space="preserve">Медичні вироби (не визначені за </w:t>
            </w:r>
            <w:r w:rsidRPr="0040418F">
              <w:rPr>
                <w:rFonts w:cs="Calibri"/>
                <w:sz w:val="24"/>
                <w:szCs w:val="24"/>
                <w:lang w:eastAsia="ru-RU" w:bidi="hi-IN"/>
              </w:rPr>
              <w:t>функцією)</w:t>
            </w:r>
          </w:p>
        </w:tc>
      </w:tr>
      <w:tr w:rsidR="00072FF7" w:rsidRPr="00054673" w14:paraId="1075DE2C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A5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HC.5.1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822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Pharmaceuticals and other medical non-durable goods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DF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Лікарські засоби та інші медичні товари нетривалого користування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108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Фармацевтичні та інші медичні товари  нетривалого користування</w:t>
            </w:r>
          </w:p>
        </w:tc>
      </w:tr>
      <w:tr w:rsidR="00072FF7" w:rsidRPr="00054673" w14:paraId="5B8706B2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F5A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HC.5.1.1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64C" w14:textId="77777777" w:rsidR="00072FF7" w:rsidRPr="00EC0E5A" w:rsidRDefault="00072FF7" w:rsidP="005972C4">
            <w:pPr>
              <w:tabs>
                <w:tab w:val="left" w:pos="3420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Prescribed medicines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A6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Призначені ліки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E4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Рецептурні ліки</w:t>
            </w:r>
          </w:p>
        </w:tc>
      </w:tr>
      <w:tr w:rsidR="00072FF7" w:rsidRPr="00054673" w14:paraId="2436FB6E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CA0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HC.5.1.2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347" w14:textId="77777777" w:rsidR="00072FF7" w:rsidRPr="00EC0E5A" w:rsidRDefault="00072FF7" w:rsidP="005972C4">
            <w:pPr>
              <w:tabs>
                <w:tab w:val="center" w:pos="4961"/>
              </w:tabs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Over-the-counter medicines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1D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Нерецептурні медикаменти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FA1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Нерецептурні медикаменти</w:t>
            </w:r>
          </w:p>
        </w:tc>
      </w:tr>
      <w:tr w:rsidR="00072FF7" w:rsidRPr="00054673" w14:paraId="4B78C698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71D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</w:t>
            </w: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.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5.1.3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3EDE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Other medical nondurables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49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медичні товари нетривалого користування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982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медичні товари нетривалого користування</w:t>
            </w:r>
          </w:p>
        </w:tc>
      </w:tr>
      <w:tr w:rsidR="00072FF7" w:rsidRPr="00054673" w14:paraId="60DCE74F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A3A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HC.5.2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08E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Therapeutic appliances and other medical goods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2A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Терапевтичні прилади та інші медичні товари тривалого користування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C68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Терапевтичні прилади та інші медичні товари тривалого користування</w:t>
            </w:r>
          </w:p>
        </w:tc>
      </w:tr>
      <w:tr w:rsidR="00072FF7" w:rsidRPr="00054673" w14:paraId="1CB16AAA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95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HC.5.2.1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28F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Glasses and other vision products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8F6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Окуляри та інші засоби для зору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F6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Окуляри та інші засоби для зору</w:t>
            </w:r>
          </w:p>
        </w:tc>
      </w:tr>
      <w:tr w:rsidR="00072FF7" w:rsidRPr="00054673" w14:paraId="4B660D45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77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HC.5.2.2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943E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Hearing aids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EEF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Слухові апарати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FE1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Слухові апарати</w:t>
            </w:r>
          </w:p>
        </w:tc>
      </w:tr>
      <w:tr w:rsidR="00072FF7" w:rsidRPr="00054673" w14:paraId="75D4C8B9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FF4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HC.5.2.3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619" w14:textId="073FA8CA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 xml:space="preserve">Other </w:t>
            </w:r>
            <w:r w:rsidR="00EC0E5A" w:rsidRPr="00EC0E5A">
              <w:rPr>
                <w:rFonts w:cs="Calibri"/>
                <w:sz w:val="24"/>
                <w:szCs w:val="24"/>
                <w:lang w:val="en-US" w:eastAsia="ru-RU" w:bidi="hi-IN"/>
              </w:rPr>
              <w:t>orthopedic</w:t>
            </w: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 xml:space="preserve"> appliances and prosthetics (excluding glasses and</w:t>
            </w:r>
          </w:p>
          <w:p w14:paraId="6DC75EDE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hearing aids)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56E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ортопедичні пристосування та протези (крім окулярів і</w:t>
            </w:r>
          </w:p>
          <w:p w14:paraId="5A06615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слухових апаратів)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3CF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ортопедичні пристосування та протези (крім окулярів і</w:t>
            </w:r>
          </w:p>
          <w:p w14:paraId="131DB5D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слухових апаратів)</w:t>
            </w:r>
          </w:p>
        </w:tc>
      </w:tr>
      <w:tr w:rsidR="00072FF7" w:rsidRPr="00054673" w14:paraId="6C021A8D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B1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HC.5.2.9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316E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All other medical durables, including medical technical devices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9D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Усі інші медичні вироби тривалого користування, включаючи медичні технічні вироби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7F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Усі інші медичні вироби тривалого користування, включаючи медичні технічні вироби</w:t>
            </w:r>
          </w:p>
        </w:tc>
      </w:tr>
      <w:tr w:rsidR="00072FF7" w:rsidRPr="00054673" w14:paraId="40A16A66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84A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lang w:val="en-US"/>
              </w:rPr>
              <w:t>HC.</w:t>
            </w:r>
            <w:r w:rsidRPr="00054673">
              <w:t>5.nec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7E6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lang w:val="en-US"/>
              </w:rPr>
              <w:t>Unspecified medical goods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09B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Неуточнені медичні вироби (н.к.)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09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Неуточнені медичні вироби </w:t>
            </w:r>
          </w:p>
        </w:tc>
      </w:tr>
      <w:tr w:rsidR="00072FF7" w:rsidRPr="00054673" w14:paraId="4C307AD6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AF1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A547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Preventive care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6C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Профілактична допомога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F7A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Профілактична допомога</w:t>
            </w:r>
          </w:p>
        </w:tc>
      </w:tr>
      <w:tr w:rsidR="00072FF7" w:rsidRPr="00054673" w14:paraId="6D07DB09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44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HC.6.1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479D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Information, education and counseling programme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CC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Інформаційно-просвітницька та консультативна програма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4D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Інформаційно-просвітницька та консультативна програма</w:t>
            </w:r>
          </w:p>
        </w:tc>
      </w:tr>
      <w:tr w:rsidR="00072FF7" w:rsidRPr="00054673" w14:paraId="14E8B6FA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E4E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lastRenderedPageBreak/>
              <w:t>HC.</w:t>
            </w:r>
            <w:r w:rsidRPr="00054673">
              <w:rPr>
                <w:rFonts w:cs="Calibri"/>
                <w:sz w:val="24"/>
                <w:szCs w:val="24"/>
              </w:rPr>
              <w:t>6.1.1.1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41E9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Tobacco IEC programmes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DF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Програми IEC по тютюну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AE1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Програми по тютюну</w:t>
            </w:r>
          </w:p>
        </w:tc>
      </w:tr>
      <w:tr w:rsidR="00072FF7" w:rsidRPr="00054673" w14:paraId="61761E9B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54E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6.1.1.2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478D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Alcohol IEC programmes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A2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Алкогольні програми IEC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73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 xml:space="preserve">Алкогольні програми </w:t>
            </w:r>
          </w:p>
        </w:tc>
      </w:tr>
      <w:tr w:rsidR="00072FF7" w:rsidRPr="00054673" w14:paraId="408891C1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058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6.1.1.3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41D1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Drugs IEC programmes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E21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Програми IEC для наркотиків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D3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Програми  по наркотиках</w:t>
            </w:r>
          </w:p>
        </w:tc>
      </w:tr>
      <w:tr w:rsidR="00072FF7" w:rsidRPr="00054673" w14:paraId="40BD748E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5B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6.1.1.nec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787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Other and unspecified addictive substances IEC programmes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406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Програми IEC щодо інших та неуточнених речовин, що викликають звикання (н.е.)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1D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 xml:space="preserve">Програми щодо інших та неуточнених речовин, що викликають звикання </w:t>
            </w:r>
          </w:p>
        </w:tc>
      </w:tr>
      <w:tr w:rsidR="00072FF7" w:rsidRPr="00054673" w14:paraId="6BF3E367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3C6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6.1.2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7CA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Nutrition IEC programmes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E59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Програми IEC з харчування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266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Програми з харчування</w:t>
            </w:r>
          </w:p>
        </w:tc>
      </w:tr>
      <w:tr w:rsidR="00072FF7" w:rsidRPr="00054673" w14:paraId="7271BA54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A2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6.1.3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4D81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Safe sex IEC programmes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335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Програми IEC щодо безпечного сексу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820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Програми щодо безпечного сексу</w:t>
            </w:r>
          </w:p>
        </w:tc>
      </w:tr>
      <w:tr w:rsidR="00072FF7" w:rsidRPr="00054673" w14:paraId="5557F13C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116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6.1.4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F4BC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Phycical inactivity IEC programmes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95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Програми IEC щодо відсутності фізичної активності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582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Програми  щодо відсутності фізичної активності</w:t>
            </w:r>
          </w:p>
        </w:tc>
      </w:tr>
      <w:tr w:rsidR="00072FF7" w:rsidRPr="00054673" w14:paraId="239C1151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5F5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6.1.nec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7C11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Other and unspecified IEC programmes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899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та неуточнені програми IEC (н.е.)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C8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Інші та неуточнені програми </w:t>
            </w:r>
          </w:p>
        </w:tc>
      </w:tr>
      <w:tr w:rsidR="00072FF7" w:rsidRPr="00054673" w14:paraId="401B21D3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195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HC.6.2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A19B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Immunisation programmes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74F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Програми імунізації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11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Програми імунізації</w:t>
            </w:r>
          </w:p>
        </w:tc>
      </w:tr>
      <w:tr w:rsidR="00072FF7" w:rsidRPr="00054673" w14:paraId="16E8E4A6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6D6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HC.6.3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C26A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Early disease detection programmes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26C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Програми раннього виявлення захворювань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0E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Програми раннього виявлення захворювань</w:t>
            </w:r>
          </w:p>
        </w:tc>
      </w:tr>
      <w:tr w:rsidR="00072FF7" w:rsidRPr="00054673" w14:paraId="0C358968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8E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HC.6.4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364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Healthy condition monitoring programmes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E55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Програми моніторингу здорового стану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156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Програми моніторингу здорового стану</w:t>
            </w:r>
          </w:p>
        </w:tc>
      </w:tr>
      <w:tr w:rsidR="00072FF7" w:rsidRPr="00054673" w14:paraId="115EFF4C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4F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6.4.1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FF6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Check-ups for health certificate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09D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Огляди на довідку про стан здоров’я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E6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Огляди на довідку про стан здоров’я</w:t>
            </w:r>
          </w:p>
        </w:tc>
      </w:tr>
      <w:tr w:rsidR="00072FF7" w:rsidRPr="00054673" w14:paraId="2BB0CF5E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B5F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6.4.nec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96C8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Other Healthy condition monitoring programmes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62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Інші програми моніторингу здорового стану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2E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Інші програми моніторингу здорового стану</w:t>
            </w:r>
          </w:p>
        </w:tc>
      </w:tr>
      <w:tr w:rsidR="00072FF7" w:rsidRPr="00054673" w14:paraId="6AD35345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38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HC.6.5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CBE6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Epidemiological surveillance and risk and disease control programmes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147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Програми епідеміологічного нагляду та контролю ризиків та захворювань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FD6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Програми епідеміологічного нагляду та контролю ризиків та захворювань</w:t>
            </w:r>
          </w:p>
        </w:tc>
      </w:tr>
      <w:tr w:rsidR="00072FF7" w:rsidRPr="00054673" w14:paraId="6561CAF1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608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6.5.1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C23B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Planning &amp; Management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B3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Планування та управління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E3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Планування та управління</w:t>
            </w:r>
          </w:p>
        </w:tc>
      </w:tr>
      <w:tr w:rsidR="00072FF7" w:rsidRPr="00054673" w14:paraId="76EC7B01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73C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6.5.2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57A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Monitoring &amp; Evaluation (M&amp;E)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2A0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Моніторинг та оцінка (M&amp;E)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21A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 xml:space="preserve">Моніторинг та оцінка </w:t>
            </w:r>
          </w:p>
        </w:tc>
      </w:tr>
      <w:tr w:rsidR="00072FF7" w:rsidRPr="00054673" w14:paraId="3468DBB2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C60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6.5.3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E81F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Procurement &amp; supply management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95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Управління закупівлями та постачанням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D57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Управління закупівлями та постачанням</w:t>
            </w:r>
          </w:p>
        </w:tc>
      </w:tr>
      <w:tr w:rsidR="00072FF7" w:rsidRPr="00054673" w14:paraId="59705E11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0E9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HC.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6.5.4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536F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Interventions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9E3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Втручання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9C7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Втручання</w:t>
            </w:r>
          </w:p>
        </w:tc>
      </w:tr>
      <w:tr w:rsidR="00072FF7" w:rsidRPr="00054673" w14:paraId="7577F0EC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E0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6.5.4.1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E3A3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Male circumcision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B1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Чоловіче обрізання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D2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Чоловіче обрізання</w:t>
            </w:r>
          </w:p>
        </w:tc>
      </w:tr>
      <w:tr w:rsidR="00072FF7" w:rsidRPr="00054673" w14:paraId="536EB968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935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lastRenderedPageBreak/>
              <w:t>HC.</w:t>
            </w:r>
            <w:r w:rsidRPr="00054673">
              <w:rPr>
                <w:rFonts w:cs="Calibri"/>
                <w:sz w:val="24"/>
                <w:szCs w:val="24"/>
              </w:rPr>
              <w:t>6.5.4.2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8A0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Condom promotion and distribution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D64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Просування та розповсюдження презервативів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79C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Просування та розповсюдження презервативів</w:t>
            </w:r>
          </w:p>
        </w:tc>
      </w:tr>
      <w:tr w:rsidR="00072FF7" w:rsidRPr="00054673" w14:paraId="21A4C73F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D1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6.5.4.3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F24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Syringe-exchange programme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72F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Програма обміну шприців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D04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Програма обміну шприців</w:t>
            </w:r>
          </w:p>
        </w:tc>
      </w:tr>
      <w:tr w:rsidR="00072FF7" w:rsidRPr="00054673" w14:paraId="778990AD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767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6.5.4.4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282C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Drug substitution programme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18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Програма заміни наркотиків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D3A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Програма заміни наркотиків</w:t>
            </w:r>
          </w:p>
        </w:tc>
      </w:tr>
      <w:tr w:rsidR="00072FF7" w:rsidRPr="00054673" w14:paraId="35E28858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2E3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6.5.4.nec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714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Other and unspecified interventions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0EA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Інші та неуточнені втручання (н.к.)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D678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 xml:space="preserve">Інші та неуточнені втручання </w:t>
            </w:r>
          </w:p>
        </w:tc>
      </w:tr>
      <w:tr w:rsidR="00072FF7" w:rsidRPr="00054673" w14:paraId="2DB7489D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E2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6.5.nec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A35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Unspecified epidemiological surveillance and risk and disease control programmes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6C2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Програми неуточненого епідеміологічного нагляду та ризику та контролю захворювань (н.к.)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D2B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Програми неуточненого епідеміологічного нагляду та ризику та контролю захворювань </w:t>
            </w:r>
          </w:p>
        </w:tc>
      </w:tr>
      <w:tr w:rsidR="00072FF7" w:rsidRPr="00054673" w14:paraId="07A617B4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73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HC.6.6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BB7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Preparing for disaster and emergency response programmes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36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Підготовка до програм реагування на катастрофи та надзвичайні ситуації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A42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Підготовка до програм реагування на катастрофи та надзвичайні ситуації</w:t>
            </w:r>
          </w:p>
        </w:tc>
      </w:tr>
      <w:tr w:rsidR="00072FF7" w:rsidRPr="00054673" w14:paraId="5E32B8AD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1C5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6.nec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5E04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Unspecified preventive care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8C5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Неуточнена профілактична допомога (н.к.)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5A4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Неуточнена профілактична допомога </w:t>
            </w:r>
          </w:p>
        </w:tc>
      </w:tr>
      <w:tr w:rsidR="00072FF7" w:rsidRPr="00054673" w14:paraId="318509DD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EF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1717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Governance, and health system and financing administration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BCA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Урядування, система охорони здоров'я та фінансове управління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15D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Керівництво охороною здоров'я і фінансове управління</w:t>
            </w:r>
          </w:p>
        </w:tc>
      </w:tr>
      <w:tr w:rsidR="00072FF7" w:rsidRPr="00054673" w14:paraId="4A7A8284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299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HC.7.1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880E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Governance and Health system administration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358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Управління та адміністрування системи охорони здоров'я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A84F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Загальне державне керівництво  охороною здоров'я</w:t>
            </w:r>
          </w:p>
        </w:tc>
      </w:tr>
      <w:tr w:rsidR="00072FF7" w:rsidRPr="00054673" w14:paraId="74CBE38A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50D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7.1.1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2F10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Planning &amp; Management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C6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Планування та управління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8C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Планування та управління</w:t>
            </w:r>
          </w:p>
        </w:tc>
      </w:tr>
      <w:tr w:rsidR="00072FF7" w:rsidRPr="00054673" w14:paraId="364422DA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483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7.1.2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757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Monitoring &amp; Evaluation (M&amp;E)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CE9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Моніторинг та оцінка (M&amp;E)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B40E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Моніторинг та оцінка (M&amp;E)</w:t>
            </w:r>
          </w:p>
        </w:tc>
      </w:tr>
      <w:tr w:rsidR="00072FF7" w:rsidRPr="00054673" w14:paraId="5B79B896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CDA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7.1.3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BF3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Procurement &amp; supply management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5976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Управління закупівлями та постачанням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AF79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Управління закупівлями та постачанням</w:t>
            </w:r>
          </w:p>
        </w:tc>
      </w:tr>
      <w:tr w:rsidR="00072FF7" w:rsidRPr="00054673" w14:paraId="6ADF72C5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39A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t>HC.</w:t>
            </w:r>
            <w:r w:rsidRPr="00054673">
              <w:rPr>
                <w:rFonts w:cs="Calibri"/>
                <w:sz w:val="24"/>
                <w:szCs w:val="24"/>
              </w:rPr>
              <w:t>7.1.nec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388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Other governance and Health system administration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D2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>Інше управління та адміністрування системи охорони здоров’я (н.к.)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55A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</w:rPr>
              <w:t xml:space="preserve">Інше управління та адміністрування системи охорони здоров’я </w:t>
            </w:r>
          </w:p>
        </w:tc>
      </w:tr>
      <w:tr w:rsidR="00072FF7" w:rsidRPr="00054673" w14:paraId="72409ECD" w14:textId="77777777" w:rsidTr="005972C4">
        <w:trPr>
          <w:cantSplit/>
          <w:trHeight w:val="93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10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HC.7.2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80A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Administration of health financing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47B1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Управління фінансуванням охорони здоров'я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5E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Керівництво охороною здоров'я і медичне страхування</w:t>
            </w:r>
          </w:p>
        </w:tc>
      </w:tr>
      <w:tr w:rsidR="00072FF7" w:rsidRPr="00054673" w14:paraId="13B441FC" w14:textId="77777777" w:rsidTr="005972C4">
        <w:trPr>
          <w:cantSplit/>
          <w:trHeight w:val="93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BC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/>
              </w:rPr>
              <w:lastRenderedPageBreak/>
              <w:t>HC.</w:t>
            </w:r>
            <w:r w:rsidRPr="00054673">
              <w:rPr>
                <w:rFonts w:cs="Calibri"/>
                <w:sz w:val="24"/>
                <w:szCs w:val="24"/>
              </w:rPr>
              <w:t>7.nec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452F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/>
              </w:rPr>
              <w:t>Unspecified governance, and health system and financing administration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F20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Невизначене управління, а також система охорони здоров’я та фінансове управління (н.к.)</w:t>
            </w:r>
          </w:p>
          <w:p w14:paraId="0E6073C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43B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Невизначене управління системою охорони здоров’я та фінансове управління </w:t>
            </w:r>
          </w:p>
        </w:tc>
      </w:tr>
      <w:tr w:rsidR="00072FF7" w:rsidRPr="00054673" w14:paraId="7D2C05DF" w14:textId="77777777" w:rsidTr="005972C4">
        <w:trPr>
          <w:cantSplit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D05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HC.</w:t>
            </w: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C56" w14:textId="77777777" w:rsidR="00072FF7" w:rsidRPr="00EC0E5A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US" w:eastAsia="ru-RU" w:bidi="hi-IN"/>
              </w:rPr>
              <w:t>Other health care services not elsewhere classified (n.e.c.)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5677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 xml:space="preserve">Інші медичні послуги, не класифіковані в інших рубриках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E80C" w14:textId="77777777" w:rsidR="00072FF7" w:rsidRPr="00054673" w:rsidRDefault="00072FF7" w:rsidP="005972C4">
            <w:pPr>
              <w:spacing w:after="0" w:line="240" w:lineRule="auto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Інші медичні послуги, не класифіковані в інших рубриках</w:t>
            </w:r>
          </w:p>
        </w:tc>
      </w:tr>
    </w:tbl>
    <w:p w14:paraId="1CEA4369" w14:textId="77777777" w:rsidR="00072FF7" w:rsidRPr="001E72A1" w:rsidRDefault="00072FF7" w:rsidP="00B10B60">
      <w:pPr>
        <w:spacing w:after="0" w:line="240" w:lineRule="auto"/>
        <w:rPr>
          <w:rFonts w:ascii="Times New Roman" w:hAnsi="Times New Roman" w:cs="Mangal"/>
          <w:lang w:eastAsia="ru-RU" w:bidi="hi-IN"/>
        </w:rPr>
      </w:pPr>
    </w:p>
    <w:p w14:paraId="6228CF4F" w14:textId="77777777" w:rsidR="00072FF7" w:rsidRDefault="00072FF7" w:rsidP="002F2489">
      <w:pPr>
        <w:keepNext/>
        <w:spacing w:after="0" w:line="240" w:lineRule="auto"/>
        <w:jc w:val="center"/>
        <w:outlineLvl w:val="1"/>
        <w:rPr>
          <w:rFonts w:ascii="Times New Roman" w:hAnsi="Times New Roman" w:cs="Mangal"/>
          <w:sz w:val="28"/>
          <w:szCs w:val="28"/>
          <w:lang w:eastAsia="ru-RU" w:bidi="hi-IN"/>
        </w:rPr>
      </w:pPr>
    </w:p>
    <w:p w14:paraId="52A6046E" w14:textId="77777777" w:rsidR="00072FF7" w:rsidRPr="00482891" w:rsidRDefault="00072FF7" w:rsidP="007578A6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 w:bidi="hi-IN"/>
        </w:rPr>
      </w:pPr>
      <w:r w:rsidRPr="00482891">
        <w:rPr>
          <w:rFonts w:ascii="Times New Roman" w:hAnsi="Times New Roman"/>
          <w:sz w:val="28"/>
          <w:szCs w:val="28"/>
          <w:lang w:eastAsia="ru-RU" w:bidi="hi-IN"/>
        </w:rPr>
        <w:t>Нагромадження капіталу (</w:t>
      </w:r>
      <w:r w:rsidRPr="00482891">
        <w:rPr>
          <w:rFonts w:ascii="Times New Roman" w:hAnsi="Times New Roman"/>
          <w:sz w:val="28"/>
          <w:szCs w:val="28"/>
          <w:lang w:val="en-US" w:eastAsia="ru-RU" w:bidi="hi-IN"/>
        </w:rPr>
        <w:t>HK</w:t>
      </w:r>
      <w:r w:rsidRPr="00482891">
        <w:rPr>
          <w:rFonts w:ascii="Times New Roman" w:hAnsi="Times New Roman"/>
          <w:sz w:val="28"/>
          <w:szCs w:val="28"/>
          <w:lang w:eastAsia="ru-RU" w:bidi="hi-IN"/>
        </w:rPr>
        <w:t xml:space="preserve">, </w:t>
      </w:r>
      <w:r w:rsidRPr="00482891">
        <w:rPr>
          <w:rFonts w:ascii="Times New Roman" w:hAnsi="Times New Roman"/>
          <w:sz w:val="28"/>
          <w:szCs w:val="28"/>
          <w:lang w:val="en-US" w:eastAsia="ru-RU" w:bidi="hi-IN"/>
        </w:rPr>
        <w:t>HKR</w:t>
      </w:r>
      <w:r w:rsidRPr="00482891">
        <w:rPr>
          <w:rFonts w:ascii="Times New Roman" w:hAnsi="Times New Roman"/>
          <w:sz w:val="28"/>
          <w:szCs w:val="28"/>
          <w:lang w:eastAsia="ru-RU" w:bidi="hi-IN"/>
        </w:rPr>
        <w:t>)</w:t>
      </w:r>
    </w:p>
    <w:p w14:paraId="4604DE08" w14:textId="77777777" w:rsidR="00072FF7" w:rsidRPr="00482891" w:rsidRDefault="00072FF7" w:rsidP="007578A6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 w:bidi="hi-IN"/>
        </w:rPr>
      </w:pPr>
    </w:p>
    <w:p w14:paraId="43C6AC3A" w14:textId="77777777" w:rsidR="00072FF7" w:rsidRPr="00482891" w:rsidRDefault="00072FF7" w:rsidP="007578A6">
      <w:pPr>
        <w:spacing w:after="0" w:line="240" w:lineRule="auto"/>
        <w:ind w:left="360"/>
        <w:rPr>
          <w:rFonts w:ascii="Times New Roman" w:hAnsi="Times New Roman"/>
          <w:lang w:eastAsia="ru-RU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2694"/>
        <w:gridCol w:w="2693"/>
        <w:gridCol w:w="2410"/>
      </w:tblGrid>
      <w:tr w:rsidR="00072FF7" w:rsidRPr="00054673" w14:paraId="2E9203C4" w14:textId="77777777" w:rsidTr="00054673">
        <w:trPr>
          <w:trHeight w:val="240"/>
          <w:tblHeader/>
        </w:trPr>
        <w:tc>
          <w:tcPr>
            <w:tcW w:w="1696" w:type="dxa"/>
            <w:shd w:val="clear" w:color="auto" w:fill="F2F2F2"/>
            <w:noWrap/>
            <w:vAlign w:val="center"/>
          </w:tcPr>
          <w:p w14:paraId="37CA0650" w14:textId="77777777" w:rsidR="00072FF7" w:rsidRPr="00054673" w:rsidRDefault="00072FF7" w:rsidP="00054673">
            <w:pPr>
              <w:spacing w:after="0" w:line="240" w:lineRule="auto"/>
              <w:ind w:left="22"/>
              <w:jc w:val="center"/>
              <w:rPr>
                <w:rFonts w:cs="Calibri"/>
                <w:b/>
                <w:lang w:val="en-US" w:eastAsia="ru-RU" w:bidi="hi-IN"/>
              </w:rPr>
            </w:pPr>
            <w:r w:rsidRPr="00054673">
              <w:rPr>
                <w:rFonts w:ascii="Times New Roman" w:hAnsi="Times New Roman" w:cs="Mangal"/>
                <w:b/>
                <w:bCs/>
                <w:lang w:eastAsia="ru-RU" w:bidi="hi-IN"/>
              </w:rPr>
              <w:t>Код угрупування</w:t>
            </w:r>
          </w:p>
        </w:tc>
        <w:tc>
          <w:tcPr>
            <w:tcW w:w="2694" w:type="dxa"/>
            <w:shd w:val="clear" w:color="auto" w:fill="F2F2F2"/>
            <w:noWrap/>
            <w:vAlign w:val="center"/>
          </w:tcPr>
          <w:p w14:paraId="5C60EB59" w14:textId="77777777" w:rsidR="00072FF7" w:rsidRPr="00054673" w:rsidRDefault="00072FF7" w:rsidP="00054673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Mangal"/>
                <w:b/>
                <w:bCs/>
                <w:lang w:eastAsia="ru-RU" w:bidi="hi-IN"/>
              </w:rPr>
            </w:pPr>
            <w:r w:rsidRPr="00054673">
              <w:rPr>
                <w:rFonts w:ascii="Times New Roman" w:hAnsi="Times New Roman" w:cs="Mangal"/>
                <w:b/>
                <w:bCs/>
                <w:lang w:eastAsia="ru-RU" w:bidi="hi-IN"/>
              </w:rPr>
              <w:t>Опис угрупування</w:t>
            </w:r>
          </w:p>
          <w:p w14:paraId="0D31AFB1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b/>
                <w:lang w:eastAsia="ru-RU" w:bidi="hi-IN"/>
              </w:rPr>
            </w:pPr>
            <w:r w:rsidRPr="00054673">
              <w:rPr>
                <w:rFonts w:ascii="Times New Roman" w:hAnsi="Times New Roman" w:cs="Mangal"/>
                <w:b/>
                <w:bCs/>
                <w:lang w:eastAsia="ru-RU" w:bidi="hi-IN"/>
              </w:rPr>
              <w:t>(міжнародна категорія)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462DE487" w14:textId="77777777" w:rsidR="00072FF7" w:rsidRPr="00054673" w:rsidRDefault="00072FF7" w:rsidP="0005467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lang w:eastAsia="ru-RU" w:bidi="hi-IN"/>
              </w:rPr>
            </w:pPr>
            <w:r w:rsidRPr="00054673">
              <w:rPr>
                <w:rFonts w:ascii="Times New Roman" w:hAnsi="Times New Roman" w:cs="Mangal"/>
                <w:b/>
                <w:bCs/>
                <w:lang w:eastAsia="ru-RU" w:bidi="hi-IN"/>
              </w:rPr>
              <w:t>Опис угрупування</w:t>
            </w:r>
          </w:p>
          <w:p w14:paraId="69A4F6F7" w14:textId="77777777" w:rsidR="00072FF7" w:rsidRPr="00054673" w:rsidRDefault="00072FF7" w:rsidP="00054673">
            <w:pPr>
              <w:spacing w:after="0" w:line="240" w:lineRule="auto"/>
              <w:ind w:left="22"/>
              <w:jc w:val="center"/>
              <w:rPr>
                <w:rFonts w:cs="Calibri"/>
                <w:b/>
                <w:lang w:eastAsia="uk-UA" w:bidi="hi-IN"/>
              </w:rPr>
            </w:pPr>
            <w:r w:rsidRPr="00054673">
              <w:rPr>
                <w:rFonts w:ascii="Times New Roman" w:hAnsi="Times New Roman" w:cs="Mangal"/>
                <w:b/>
                <w:bCs/>
                <w:lang w:eastAsia="ru-RU" w:bidi="hi-IN"/>
              </w:rPr>
              <w:t>(дослівний переклад)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8A35F75" w14:textId="77777777" w:rsidR="00072FF7" w:rsidRPr="00054673" w:rsidRDefault="00072FF7" w:rsidP="00054673">
            <w:pPr>
              <w:spacing w:after="0" w:line="240" w:lineRule="auto"/>
              <w:ind w:left="22"/>
              <w:jc w:val="center"/>
              <w:rPr>
                <w:rFonts w:cs="Calibri"/>
                <w:b/>
                <w:lang w:eastAsia="uk-UA" w:bidi="hi-IN"/>
              </w:rPr>
            </w:pPr>
            <w:r w:rsidRPr="00054673">
              <w:rPr>
                <w:rFonts w:ascii="Times New Roman" w:hAnsi="Times New Roman" w:cs="Mangal"/>
                <w:b/>
                <w:bCs/>
                <w:lang w:eastAsia="ru-RU" w:bidi="hi-IN"/>
              </w:rPr>
              <w:t>Національне визначення угрупування</w:t>
            </w:r>
          </w:p>
        </w:tc>
      </w:tr>
      <w:tr w:rsidR="00072FF7" w:rsidRPr="00054673" w14:paraId="3178DADC" w14:textId="77777777" w:rsidTr="00054673">
        <w:trPr>
          <w:trHeight w:val="240"/>
        </w:trPr>
        <w:tc>
          <w:tcPr>
            <w:tcW w:w="1696" w:type="dxa"/>
            <w:noWrap/>
          </w:tcPr>
          <w:p w14:paraId="32A73E36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b/>
                <w:sz w:val="24"/>
                <w:szCs w:val="24"/>
                <w:lang w:val="en-US" w:eastAsia="ru-RU" w:bidi="hi-IN"/>
              </w:rPr>
            </w:pPr>
            <w:r w:rsidRPr="00054673">
              <w:rPr>
                <w:rFonts w:cs="Calibri"/>
                <w:b/>
                <w:sz w:val="24"/>
                <w:szCs w:val="24"/>
                <w:lang w:val="en-US" w:eastAsia="ru-RU" w:bidi="hi-IN"/>
              </w:rPr>
              <w:t>HK.1</w:t>
            </w:r>
          </w:p>
        </w:tc>
        <w:tc>
          <w:tcPr>
            <w:tcW w:w="2694" w:type="dxa"/>
            <w:noWrap/>
          </w:tcPr>
          <w:p w14:paraId="550A6672" w14:textId="77777777" w:rsidR="00072FF7" w:rsidRPr="00EC0E5A" w:rsidRDefault="00072FF7" w:rsidP="00054673">
            <w:pPr>
              <w:spacing w:after="0" w:line="240" w:lineRule="auto"/>
              <w:ind w:left="29"/>
              <w:rPr>
                <w:rFonts w:cs="Calibri"/>
                <w:b/>
                <w:sz w:val="24"/>
                <w:szCs w:val="24"/>
                <w:lang w:val="en-AU" w:eastAsia="ru-RU" w:bidi="hi-IN"/>
              </w:rPr>
            </w:pPr>
            <w:r w:rsidRPr="00EC0E5A">
              <w:rPr>
                <w:rFonts w:cs="Calibri"/>
                <w:b/>
                <w:sz w:val="24"/>
                <w:szCs w:val="24"/>
                <w:lang w:val="en-AU" w:eastAsia="ru-RU" w:bidi="hi-IN"/>
              </w:rPr>
              <w:t>Gross capital formation</w:t>
            </w:r>
          </w:p>
        </w:tc>
        <w:tc>
          <w:tcPr>
            <w:tcW w:w="2693" w:type="dxa"/>
          </w:tcPr>
          <w:p w14:paraId="0B091289" w14:textId="77777777" w:rsidR="00072FF7" w:rsidRPr="00054673" w:rsidRDefault="00072FF7" w:rsidP="00054673">
            <w:pPr>
              <w:spacing w:after="0" w:line="240" w:lineRule="auto"/>
              <w:ind w:left="37"/>
              <w:rPr>
                <w:rFonts w:cs="Calibri"/>
                <w:b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b/>
                <w:sz w:val="24"/>
                <w:szCs w:val="24"/>
                <w:lang w:eastAsia="uk-UA" w:bidi="hi-IN"/>
              </w:rPr>
              <w:t>Валове нагромадження капіталу</w:t>
            </w:r>
          </w:p>
        </w:tc>
        <w:tc>
          <w:tcPr>
            <w:tcW w:w="2410" w:type="dxa"/>
          </w:tcPr>
          <w:p w14:paraId="7618D38E" w14:textId="77777777" w:rsidR="00072FF7" w:rsidRPr="00054673" w:rsidRDefault="00072FF7" w:rsidP="00054673">
            <w:pPr>
              <w:spacing w:after="0" w:line="240" w:lineRule="auto"/>
              <w:ind w:left="31"/>
              <w:rPr>
                <w:rFonts w:cs="Calibri"/>
                <w:b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b/>
                <w:sz w:val="24"/>
                <w:szCs w:val="24"/>
                <w:lang w:eastAsia="uk-UA" w:bidi="hi-IN"/>
              </w:rPr>
              <w:t>Валове нагромадження капіталу</w:t>
            </w:r>
          </w:p>
        </w:tc>
      </w:tr>
      <w:tr w:rsidR="00072FF7" w:rsidRPr="00054673" w14:paraId="5D5B9023" w14:textId="77777777" w:rsidTr="00054673">
        <w:trPr>
          <w:trHeight w:val="240"/>
        </w:trPr>
        <w:tc>
          <w:tcPr>
            <w:tcW w:w="1696" w:type="dxa"/>
            <w:noWrap/>
          </w:tcPr>
          <w:p w14:paraId="0470EF89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HK.1.1</w:t>
            </w:r>
          </w:p>
        </w:tc>
        <w:tc>
          <w:tcPr>
            <w:tcW w:w="2694" w:type="dxa"/>
            <w:noWrap/>
          </w:tcPr>
          <w:p w14:paraId="7BA2046D" w14:textId="77777777" w:rsidR="00072FF7" w:rsidRPr="00EC0E5A" w:rsidRDefault="00072FF7" w:rsidP="00054673">
            <w:pPr>
              <w:spacing w:after="0" w:line="240" w:lineRule="auto"/>
              <w:ind w:left="29"/>
              <w:rPr>
                <w:rFonts w:cs="Calibri"/>
                <w:sz w:val="24"/>
                <w:szCs w:val="24"/>
                <w:lang w:val="en-AU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AU" w:eastAsia="ru-RU" w:bidi="hi-IN"/>
              </w:rPr>
              <w:t>Gross fixed capital formation</w:t>
            </w:r>
          </w:p>
        </w:tc>
        <w:tc>
          <w:tcPr>
            <w:tcW w:w="2693" w:type="dxa"/>
          </w:tcPr>
          <w:p w14:paraId="1190C981" w14:textId="77777777" w:rsidR="00072FF7" w:rsidRPr="00054673" w:rsidRDefault="00072FF7" w:rsidP="00054673">
            <w:pPr>
              <w:spacing w:after="0" w:line="240" w:lineRule="auto"/>
              <w:ind w:left="37"/>
              <w:rPr>
                <w:rFonts w:cs="Calibri"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Валове нагромадження основного капіталу</w:t>
            </w:r>
          </w:p>
        </w:tc>
        <w:tc>
          <w:tcPr>
            <w:tcW w:w="2410" w:type="dxa"/>
          </w:tcPr>
          <w:p w14:paraId="7A8F0FBC" w14:textId="77777777" w:rsidR="00072FF7" w:rsidRPr="00054673" w:rsidRDefault="00072FF7" w:rsidP="00054673">
            <w:pPr>
              <w:spacing w:after="0" w:line="240" w:lineRule="auto"/>
              <w:ind w:left="31"/>
              <w:rPr>
                <w:rFonts w:cs="Calibri"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Валове нагромадження основного капіталу</w:t>
            </w:r>
          </w:p>
        </w:tc>
      </w:tr>
      <w:tr w:rsidR="00072FF7" w:rsidRPr="00054673" w14:paraId="10B1995F" w14:textId="77777777" w:rsidTr="00054673">
        <w:trPr>
          <w:trHeight w:val="240"/>
        </w:trPr>
        <w:tc>
          <w:tcPr>
            <w:tcW w:w="1696" w:type="dxa"/>
            <w:noWrap/>
          </w:tcPr>
          <w:p w14:paraId="1CB57DD6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HK.1.1.1</w:t>
            </w:r>
          </w:p>
        </w:tc>
        <w:tc>
          <w:tcPr>
            <w:tcW w:w="2694" w:type="dxa"/>
            <w:noWrap/>
          </w:tcPr>
          <w:p w14:paraId="79A93C87" w14:textId="77777777" w:rsidR="00072FF7" w:rsidRPr="00EC0E5A" w:rsidRDefault="00072FF7" w:rsidP="00054673">
            <w:pPr>
              <w:spacing w:after="0" w:line="240" w:lineRule="auto"/>
              <w:ind w:left="29"/>
              <w:rPr>
                <w:rFonts w:cs="Calibri"/>
                <w:sz w:val="24"/>
                <w:szCs w:val="24"/>
                <w:lang w:val="en-AU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AU" w:eastAsia="ru-RU" w:bidi="hi-IN"/>
              </w:rPr>
              <w:t>Infrastructure</w:t>
            </w:r>
          </w:p>
        </w:tc>
        <w:tc>
          <w:tcPr>
            <w:tcW w:w="2693" w:type="dxa"/>
          </w:tcPr>
          <w:p w14:paraId="6C83F350" w14:textId="77777777" w:rsidR="00072FF7" w:rsidRPr="00054673" w:rsidRDefault="00072FF7" w:rsidP="00054673">
            <w:pPr>
              <w:spacing w:after="0" w:line="240" w:lineRule="auto"/>
              <w:ind w:left="37"/>
              <w:rPr>
                <w:rFonts w:cs="Calibri"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Інфраструктура</w:t>
            </w:r>
          </w:p>
        </w:tc>
        <w:tc>
          <w:tcPr>
            <w:tcW w:w="2410" w:type="dxa"/>
          </w:tcPr>
          <w:p w14:paraId="1D1A3009" w14:textId="77777777" w:rsidR="00072FF7" w:rsidRPr="00054673" w:rsidRDefault="00072FF7" w:rsidP="00054673">
            <w:pPr>
              <w:spacing w:after="0" w:line="240" w:lineRule="auto"/>
              <w:ind w:left="31"/>
              <w:rPr>
                <w:rFonts w:cs="Calibri"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Інфраструктура</w:t>
            </w:r>
          </w:p>
        </w:tc>
      </w:tr>
      <w:tr w:rsidR="00072FF7" w:rsidRPr="00054673" w14:paraId="7AB28C16" w14:textId="77777777" w:rsidTr="00054673">
        <w:trPr>
          <w:trHeight w:val="240"/>
        </w:trPr>
        <w:tc>
          <w:tcPr>
            <w:tcW w:w="1696" w:type="dxa"/>
            <w:noWrap/>
          </w:tcPr>
          <w:p w14:paraId="08558BA9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HK.1.1.2</w:t>
            </w:r>
          </w:p>
        </w:tc>
        <w:tc>
          <w:tcPr>
            <w:tcW w:w="2694" w:type="dxa"/>
            <w:noWrap/>
          </w:tcPr>
          <w:p w14:paraId="54DB8412" w14:textId="77777777" w:rsidR="00072FF7" w:rsidRPr="00EC0E5A" w:rsidRDefault="00072FF7" w:rsidP="00054673">
            <w:pPr>
              <w:spacing w:after="0" w:line="240" w:lineRule="auto"/>
              <w:ind w:left="29"/>
              <w:rPr>
                <w:rFonts w:cs="Calibri"/>
                <w:sz w:val="24"/>
                <w:szCs w:val="24"/>
                <w:lang w:val="en-AU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AU" w:eastAsia="ru-RU" w:bidi="hi-IN"/>
              </w:rPr>
              <w:t>Machinery and equipment</w:t>
            </w:r>
          </w:p>
        </w:tc>
        <w:tc>
          <w:tcPr>
            <w:tcW w:w="2693" w:type="dxa"/>
          </w:tcPr>
          <w:p w14:paraId="046690CB" w14:textId="77777777" w:rsidR="00072FF7" w:rsidRPr="00054673" w:rsidRDefault="00072FF7" w:rsidP="00054673">
            <w:pPr>
              <w:spacing w:after="0" w:line="240" w:lineRule="auto"/>
              <w:ind w:left="37"/>
              <w:rPr>
                <w:rFonts w:cs="Calibri"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Машини та обладнання</w:t>
            </w:r>
          </w:p>
        </w:tc>
        <w:tc>
          <w:tcPr>
            <w:tcW w:w="2410" w:type="dxa"/>
          </w:tcPr>
          <w:p w14:paraId="6DCD5E96" w14:textId="77777777" w:rsidR="00072FF7" w:rsidRPr="00054673" w:rsidRDefault="00072FF7" w:rsidP="00054673">
            <w:pPr>
              <w:spacing w:after="0" w:line="240" w:lineRule="auto"/>
              <w:ind w:left="31"/>
              <w:rPr>
                <w:rFonts w:cs="Calibri"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Машини та обладнання</w:t>
            </w:r>
          </w:p>
        </w:tc>
      </w:tr>
      <w:tr w:rsidR="00072FF7" w:rsidRPr="00054673" w14:paraId="4B31A277" w14:textId="77777777" w:rsidTr="00054673">
        <w:trPr>
          <w:trHeight w:val="240"/>
        </w:trPr>
        <w:tc>
          <w:tcPr>
            <w:tcW w:w="1696" w:type="dxa"/>
            <w:noWrap/>
          </w:tcPr>
          <w:p w14:paraId="2EB521E7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sz w:val="24"/>
                <w:szCs w:val="24"/>
                <w:lang w:val="en-US"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HK.1.1.3</w:t>
            </w:r>
          </w:p>
        </w:tc>
        <w:tc>
          <w:tcPr>
            <w:tcW w:w="2694" w:type="dxa"/>
            <w:noWrap/>
          </w:tcPr>
          <w:p w14:paraId="75E262C5" w14:textId="77777777" w:rsidR="00072FF7" w:rsidRPr="00EC0E5A" w:rsidRDefault="00072FF7" w:rsidP="00054673">
            <w:pPr>
              <w:spacing w:after="0" w:line="240" w:lineRule="auto"/>
              <w:ind w:left="29"/>
              <w:rPr>
                <w:rFonts w:cs="Calibri"/>
                <w:sz w:val="24"/>
                <w:szCs w:val="24"/>
                <w:lang w:val="en-AU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AU" w:eastAsia="ru-RU" w:bidi="hi-IN"/>
              </w:rPr>
              <w:t>Intellectual property products</w:t>
            </w:r>
          </w:p>
        </w:tc>
        <w:tc>
          <w:tcPr>
            <w:tcW w:w="2693" w:type="dxa"/>
          </w:tcPr>
          <w:p w14:paraId="08F42731" w14:textId="77777777" w:rsidR="00072FF7" w:rsidRPr="00054673" w:rsidRDefault="00072FF7" w:rsidP="00054673">
            <w:pPr>
              <w:spacing w:after="0" w:line="240" w:lineRule="auto"/>
              <w:ind w:left="37"/>
              <w:rPr>
                <w:rFonts w:cs="Calibri"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Продукти інтелектуальної власності</w:t>
            </w:r>
          </w:p>
        </w:tc>
        <w:tc>
          <w:tcPr>
            <w:tcW w:w="2410" w:type="dxa"/>
          </w:tcPr>
          <w:p w14:paraId="19902D96" w14:textId="77777777" w:rsidR="00072FF7" w:rsidRPr="00054673" w:rsidRDefault="00072FF7" w:rsidP="00054673">
            <w:pPr>
              <w:spacing w:after="0" w:line="240" w:lineRule="auto"/>
              <w:ind w:left="31"/>
              <w:rPr>
                <w:rFonts w:cs="Calibri"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Продукти інтелектуальної власності</w:t>
            </w:r>
          </w:p>
        </w:tc>
      </w:tr>
      <w:tr w:rsidR="00072FF7" w:rsidRPr="00054673" w14:paraId="587DF343" w14:textId="77777777" w:rsidTr="00054673">
        <w:trPr>
          <w:trHeight w:val="240"/>
        </w:trPr>
        <w:tc>
          <w:tcPr>
            <w:tcW w:w="1696" w:type="dxa"/>
            <w:noWrap/>
          </w:tcPr>
          <w:p w14:paraId="4A329A4D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HK.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1.2</w:t>
            </w:r>
          </w:p>
        </w:tc>
        <w:tc>
          <w:tcPr>
            <w:tcW w:w="2694" w:type="dxa"/>
            <w:noWrap/>
          </w:tcPr>
          <w:p w14:paraId="12566B78" w14:textId="77777777" w:rsidR="00072FF7" w:rsidRPr="00EC0E5A" w:rsidRDefault="00072FF7" w:rsidP="00054673">
            <w:pPr>
              <w:spacing w:after="0" w:line="240" w:lineRule="auto"/>
              <w:ind w:left="29"/>
              <w:rPr>
                <w:rFonts w:cs="Calibri"/>
                <w:sz w:val="24"/>
                <w:szCs w:val="24"/>
                <w:lang w:val="en-AU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AU" w:eastAsia="ru-RU" w:bidi="hi-IN"/>
              </w:rPr>
              <w:t>Changes in inventories</w:t>
            </w:r>
          </w:p>
        </w:tc>
        <w:tc>
          <w:tcPr>
            <w:tcW w:w="2693" w:type="dxa"/>
          </w:tcPr>
          <w:p w14:paraId="186598DD" w14:textId="77777777" w:rsidR="00072FF7" w:rsidRPr="00054673" w:rsidRDefault="00072FF7" w:rsidP="00054673">
            <w:pPr>
              <w:spacing w:after="0" w:line="240" w:lineRule="auto"/>
              <w:ind w:left="37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Зміни в товарних запасах</w:t>
            </w:r>
          </w:p>
        </w:tc>
        <w:tc>
          <w:tcPr>
            <w:tcW w:w="2410" w:type="dxa"/>
          </w:tcPr>
          <w:p w14:paraId="0CA60797" w14:textId="77777777" w:rsidR="00072FF7" w:rsidRPr="00054673" w:rsidRDefault="00072FF7" w:rsidP="00054673">
            <w:pPr>
              <w:spacing w:after="0" w:line="240" w:lineRule="auto"/>
              <w:ind w:left="31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Зміни в товарних запасах</w:t>
            </w:r>
          </w:p>
        </w:tc>
      </w:tr>
      <w:tr w:rsidR="00072FF7" w:rsidRPr="00054673" w14:paraId="433411B3" w14:textId="77777777" w:rsidTr="00054673">
        <w:trPr>
          <w:trHeight w:val="240"/>
        </w:trPr>
        <w:tc>
          <w:tcPr>
            <w:tcW w:w="1696" w:type="dxa"/>
            <w:noWrap/>
          </w:tcPr>
          <w:p w14:paraId="72EA2F26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HK.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1.3</w:t>
            </w:r>
          </w:p>
        </w:tc>
        <w:tc>
          <w:tcPr>
            <w:tcW w:w="2694" w:type="dxa"/>
            <w:noWrap/>
          </w:tcPr>
          <w:p w14:paraId="1D1FAE88" w14:textId="77777777" w:rsidR="00072FF7" w:rsidRPr="00EC0E5A" w:rsidRDefault="00072FF7" w:rsidP="00054673">
            <w:pPr>
              <w:spacing w:after="0" w:line="240" w:lineRule="auto"/>
              <w:ind w:left="29"/>
              <w:rPr>
                <w:rFonts w:cs="Calibri"/>
                <w:sz w:val="24"/>
                <w:szCs w:val="24"/>
                <w:lang w:val="en-AU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AU" w:eastAsia="ru-RU" w:bidi="hi-IN"/>
              </w:rPr>
              <w:t>Acquisitions less disposals of valuables</w:t>
            </w:r>
          </w:p>
        </w:tc>
        <w:tc>
          <w:tcPr>
            <w:tcW w:w="2693" w:type="dxa"/>
          </w:tcPr>
          <w:p w14:paraId="63775645" w14:textId="77777777" w:rsidR="00072FF7" w:rsidRPr="00054673" w:rsidRDefault="00072FF7" w:rsidP="00054673">
            <w:pPr>
              <w:spacing w:after="0" w:line="240" w:lineRule="auto"/>
              <w:ind w:left="37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Придбання за вирахуванням вибуття цінностей</w:t>
            </w:r>
          </w:p>
        </w:tc>
        <w:tc>
          <w:tcPr>
            <w:tcW w:w="2410" w:type="dxa"/>
          </w:tcPr>
          <w:p w14:paraId="74357E1D" w14:textId="77777777" w:rsidR="00072FF7" w:rsidRPr="00054673" w:rsidRDefault="00072FF7" w:rsidP="00054673">
            <w:pPr>
              <w:spacing w:after="0" w:line="240" w:lineRule="auto"/>
              <w:ind w:left="31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Придбання за вирахуванням вибуття цінностей</w:t>
            </w:r>
          </w:p>
        </w:tc>
      </w:tr>
      <w:tr w:rsidR="00072FF7" w:rsidRPr="00054673" w14:paraId="0DC493A1" w14:textId="77777777" w:rsidTr="00054673">
        <w:trPr>
          <w:trHeight w:val="240"/>
        </w:trPr>
        <w:tc>
          <w:tcPr>
            <w:tcW w:w="1696" w:type="dxa"/>
            <w:noWrap/>
          </w:tcPr>
          <w:p w14:paraId="3F97E0E9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HK.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1.nec</w:t>
            </w:r>
          </w:p>
        </w:tc>
        <w:tc>
          <w:tcPr>
            <w:tcW w:w="2694" w:type="dxa"/>
            <w:noWrap/>
          </w:tcPr>
          <w:p w14:paraId="409C1F2A" w14:textId="77777777" w:rsidR="00072FF7" w:rsidRPr="00EC0E5A" w:rsidRDefault="00072FF7" w:rsidP="00054673">
            <w:pPr>
              <w:spacing w:after="0" w:line="240" w:lineRule="auto"/>
              <w:ind w:left="29"/>
              <w:rPr>
                <w:rFonts w:cs="Calibri"/>
                <w:sz w:val="24"/>
                <w:szCs w:val="24"/>
                <w:lang w:val="en-AU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AU" w:eastAsia="ru-RU" w:bidi="hi-IN"/>
              </w:rPr>
              <w:t>Unspecified gross capital formation (n.e.c.)</w:t>
            </w:r>
          </w:p>
        </w:tc>
        <w:tc>
          <w:tcPr>
            <w:tcW w:w="2693" w:type="dxa"/>
          </w:tcPr>
          <w:p w14:paraId="406463E7" w14:textId="77777777" w:rsidR="00072FF7" w:rsidRPr="00054673" w:rsidRDefault="00072FF7" w:rsidP="00054673">
            <w:pPr>
              <w:spacing w:after="0" w:line="240" w:lineRule="auto"/>
              <w:ind w:left="37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Невизначене валове нагромадження капіталу (н.к.)</w:t>
            </w:r>
          </w:p>
        </w:tc>
        <w:tc>
          <w:tcPr>
            <w:tcW w:w="2410" w:type="dxa"/>
          </w:tcPr>
          <w:p w14:paraId="66595FFE" w14:textId="77777777" w:rsidR="00072FF7" w:rsidRPr="00054673" w:rsidRDefault="00072FF7" w:rsidP="00054673">
            <w:pPr>
              <w:spacing w:after="0" w:line="240" w:lineRule="auto"/>
              <w:ind w:left="31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 xml:space="preserve">Невизначене валове нагромадження капіталу </w:t>
            </w:r>
          </w:p>
        </w:tc>
      </w:tr>
      <w:tr w:rsidR="00072FF7" w:rsidRPr="00054673" w14:paraId="405E9AD7" w14:textId="77777777" w:rsidTr="00054673">
        <w:trPr>
          <w:trHeight w:val="240"/>
        </w:trPr>
        <w:tc>
          <w:tcPr>
            <w:tcW w:w="1696" w:type="dxa"/>
            <w:noWrap/>
          </w:tcPr>
          <w:p w14:paraId="496040BC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b/>
                <w:sz w:val="24"/>
                <w:szCs w:val="24"/>
                <w:lang w:val="en-US" w:eastAsia="ru-RU" w:bidi="hi-IN"/>
              </w:rPr>
            </w:pPr>
            <w:r w:rsidRPr="00054673">
              <w:rPr>
                <w:rFonts w:cs="Calibri"/>
                <w:b/>
                <w:sz w:val="24"/>
                <w:szCs w:val="24"/>
                <w:lang w:val="en-US" w:eastAsia="ru-RU" w:bidi="hi-IN"/>
              </w:rPr>
              <w:t>HK.</w:t>
            </w:r>
            <w:r w:rsidRPr="00054673">
              <w:rPr>
                <w:rFonts w:cs="Calibri"/>
                <w:b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2694" w:type="dxa"/>
            <w:noWrap/>
          </w:tcPr>
          <w:p w14:paraId="0CA03D73" w14:textId="77777777" w:rsidR="00072FF7" w:rsidRPr="00EC0E5A" w:rsidRDefault="00072FF7" w:rsidP="00054673">
            <w:pPr>
              <w:spacing w:after="0" w:line="240" w:lineRule="auto"/>
              <w:ind w:left="29"/>
              <w:rPr>
                <w:rFonts w:cs="Calibri"/>
                <w:b/>
                <w:sz w:val="24"/>
                <w:szCs w:val="24"/>
                <w:lang w:val="en-AU" w:eastAsia="ru-RU" w:bidi="hi-IN"/>
              </w:rPr>
            </w:pPr>
            <w:r w:rsidRPr="00EC0E5A">
              <w:rPr>
                <w:rFonts w:cs="Calibri"/>
                <w:b/>
                <w:sz w:val="24"/>
                <w:szCs w:val="24"/>
                <w:lang w:val="en-AU" w:eastAsia="ru-RU" w:bidi="hi-IN"/>
              </w:rPr>
              <w:t>Non-produced non-financial assets</w:t>
            </w:r>
          </w:p>
        </w:tc>
        <w:tc>
          <w:tcPr>
            <w:tcW w:w="2693" w:type="dxa"/>
          </w:tcPr>
          <w:p w14:paraId="7A620D63" w14:textId="77777777" w:rsidR="00072FF7" w:rsidRPr="00054673" w:rsidRDefault="00072FF7" w:rsidP="00054673">
            <w:pPr>
              <w:spacing w:after="0" w:line="240" w:lineRule="auto"/>
              <w:ind w:left="37"/>
              <w:rPr>
                <w:rFonts w:cs="Calibri"/>
                <w:b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b/>
                <w:sz w:val="24"/>
                <w:szCs w:val="24"/>
                <w:lang w:eastAsia="uk-UA" w:bidi="hi-IN"/>
              </w:rPr>
              <w:t>Невироблені нефінансові активи</w:t>
            </w:r>
          </w:p>
        </w:tc>
        <w:tc>
          <w:tcPr>
            <w:tcW w:w="2410" w:type="dxa"/>
          </w:tcPr>
          <w:p w14:paraId="1EA87A0A" w14:textId="77777777" w:rsidR="00072FF7" w:rsidRPr="00054673" w:rsidRDefault="00072FF7" w:rsidP="00054673">
            <w:pPr>
              <w:spacing w:after="0" w:line="240" w:lineRule="auto"/>
              <w:ind w:left="31"/>
              <w:rPr>
                <w:rFonts w:cs="Calibri"/>
                <w:b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b/>
                <w:sz w:val="24"/>
                <w:szCs w:val="24"/>
                <w:lang w:eastAsia="uk-UA" w:bidi="hi-IN"/>
              </w:rPr>
              <w:t>Невиробничі нефінансові активи</w:t>
            </w:r>
          </w:p>
        </w:tc>
      </w:tr>
      <w:tr w:rsidR="00072FF7" w:rsidRPr="00054673" w14:paraId="77834A88" w14:textId="77777777" w:rsidTr="00054673">
        <w:trPr>
          <w:trHeight w:val="240"/>
        </w:trPr>
        <w:tc>
          <w:tcPr>
            <w:tcW w:w="1696" w:type="dxa"/>
            <w:noWrap/>
          </w:tcPr>
          <w:p w14:paraId="0866EF58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HK.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2.1</w:t>
            </w:r>
          </w:p>
        </w:tc>
        <w:tc>
          <w:tcPr>
            <w:tcW w:w="2694" w:type="dxa"/>
            <w:noWrap/>
          </w:tcPr>
          <w:p w14:paraId="6FF8B026" w14:textId="77777777" w:rsidR="00072FF7" w:rsidRPr="00EC0E5A" w:rsidRDefault="00072FF7" w:rsidP="00054673">
            <w:pPr>
              <w:spacing w:after="0" w:line="240" w:lineRule="auto"/>
              <w:ind w:left="29"/>
              <w:rPr>
                <w:rFonts w:cs="Calibri"/>
                <w:sz w:val="24"/>
                <w:szCs w:val="24"/>
                <w:lang w:val="en-AU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AU" w:eastAsia="ru-RU" w:bidi="hi-IN"/>
              </w:rPr>
              <w:t>Land</w:t>
            </w:r>
          </w:p>
        </w:tc>
        <w:tc>
          <w:tcPr>
            <w:tcW w:w="2693" w:type="dxa"/>
          </w:tcPr>
          <w:p w14:paraId="328A8FF3" w14:textId="77777777" w:rsidR="00072FF7" w:rsidRPr="00054673" w:rsidRDefault="00072FF7" w:rsidP="00054673">
            <w:pPr>
              <w:spacing w:after="0" w:line="240" w:lineRule="auto"/>
              <w:ind w:left="37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Земля</w:t>
            </w:r>
          </w:p>
        </w:tc>
        <w:tc>
          <w:tcPr>
            <w:tcW w:w="2410" w:type="dxa"/>
          </w:tcPr>
          <w:p w14:paraId="08C137B8" w14:textId="77777777" w:rsidR="00072FF7" w:rsidRPr="00054673" w:rsidRDefault="00072FF7" w:rsidP="00054673">
            <w:pPr>
              <w:spacing w:after="0" w:line="240" w:lineRule="auto"/>
              <w:ind w:left="31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Земля</w:t>
            </w:r>
          </w:p>
        </w:tc>
      </w:tr>
      <w:tr w:rsidR="00072FF7" w:rsidRPr="00054673" w14:paraId="6D74940F" w14:textId="77777777" w:rsidTr="00054673">
        <w:trPr>
          <w:trHeight w:val="240"/>
        </w:trPr>
        <w:tc>
          <w:tcPr>
            <w:tcW w:w="1696" w:type="dxa"/>
            <w:noWrap/>
          </w:tcPr>
          <w:p w14:paraId="02CF488F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HK.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2.2</w:t>
            </w:r>
          </w:p>
        </w:tc>
        <w:tc>
          <w:tcPr>
            <w:tcW w:w="2694" w:type="dxa"/>
            <w:noWrap/>
          </w:tcPr>
          <w:p w14:paraId="651F40E2" w14:textId="77777777" w:rsidR="00072FF7" w:rsidRPr="00EC0E5A" w:rsidRDefault="00072FF7" w:rsidP="00054673">
            <w:pPr>
              <w:spacing w:after="0" w:line="240" w:lineRule="auto"/>
              <w:ind w:left="29"/>
              <w:rPr>
                <w:rFonts w:cs="Calibri"/>
                <w:sz w:val="24"/>
                <w:szCs w:val="24"/>
                <w:lang w:val="en-AU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AU" w:eastAsia="ru-RU" w:bidi="hi-IN"/>
              </w:rPr>
              <w:t>Other non-produced non-financial assets</w:t>
            </w:r>
          </w:p>
        </w:tc>
        <w:tc>
          <w:tcPr>
            <w:tcW w:w="2693" w:type="dxa"/>
          </w:tcPr>
          <w:p w14:paraId="7B08FB03" w14:textId="77777777" w:rsidR="00072FF7" w:rsidRPr="00054673" w:rsidRDefault="00072FF7" w:rsidP="00054673">
            <w:pPr>
              <w:spacing w:after="0" w:line="240" w:lineRule="auto"/>
              <w:ind w:left="37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Інші невироблені нефінансові активи</w:t>
            </w:r>
          </w:p>
        </w:tc>
        <w:tc>
          <w:tcPr>
            <w:tcW w:w="2410" w:type="dxa"/>
          </w:tcPr>
          <w:p w14:paraId="22929BED" w14:textId="77777777" w:rsidR="00072FF7" w:rsidRPr="00054673" w:rsidRDefault="00072FF7" w:rsidP="00054673">
            <w:pPr>
              <w:spacing w:after="0" w:line="240" w:lineRule="auto"/>
              <w:ind w:left="31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Інші невироблені нефінансові активи</w:t>
            </w:r>
          </w:p>
        </w:tc>
      </w:tr>
      <w:tr w:rsidR="00072FF7" w:rsidRPr="00054673" w14:paraId="7E7A2AA8" w14:textId="77777777" w:rsidTr="00054673">
        <w:trPr>
          <w:trHeight w:val="973"/>
        </w:trPr>
        <w:tc>
          <w:tcPr>
            <w:tcW w:w="1696" w:type="dxa"/>
            <w:noWrap/>
          </w:tcPr>
          <w:p w14:paraId="2C60EFCC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val="en-US" w:eastAsia="ru-RU" w:bidi="hi-IN"/>
              </w:rPr>
              <w:t>HK.</w:t>
            </w:r>
            <w:r w:rsidRPr="00054673">
              <w:rPr>
                <w:rFonts w:cs="Calibri"/>
                <w:sz w:val="24"/>
                <w:szCs w:val="24"/>
                <w:lang w:eastAsia="ru-RU" w:bidi="hi-IN"/>
              </w:rPr>
              <w:t>nec</w:t>
            </w:r>
          </w:p>
        </w:tc>
        <w:tc>
          <w:tcPr>
            <w:tcW w:w="2694" w:type="dxa"/>
            <w:noWrap/>
          </w:tcPr>
          <w:p w14:paraId="1DDC31C3" w14:textId="77777777" w:rsidR="00072FF7" w:rsidRPr="00EC0E5A" w:rsidRDefault="00072FF7" w:rsidP="00054673">
            <w:pPr>
              <w:spacing w:after="0" w:line="240" w:lineRule="auto"/>
              <w:ind w:left="29"/>
              <w:rPr>
                <w:rFonts w:cs="Calibri"/>
                <w:sz w:val="24"/>
                <w:szCs w:val="24"/>
                <w:lang w:val="en-AU" w:eastAsia="ru-RU" w:bidi="hi-IN"/>
              </w:rPr>
            </w:pPr>
            <w:r w:rsidRPr="00EC0E5A">
              <w:rPr>
                <w:rFonts w:cs="Calibri"/>
                <w:sz w:val="24"/>
                <w:szCs w:val="24"/>
                <w:lang w:val="en-AU" w:eastAsia="ru-RU" w:bidi="hi-IN"/>
              </w:rPr>
              <w:t>Unspecified gross fixed capital formation (n.e.c.)</w:t>
            </w:r>
          </w:p>
        </w:tc>
        <w:tc>
          <w:tcPr>
            <w:tcW w:w="2693" w:type="dxa"/>
          </w:tcPr>
          <w:p w14:paraId="236DD8B6" w14:textId="77777777" w:rsidR="00072FF7" w:rsidRPr="00054673" w:rsidRDefault="00072FF7" w:rsidP="00054673">
            <w:pPr>
              <w:spacing w:after="0" w:line="240" w:lineRule="auto"/>
              <w:ind w:left="37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>Невизначене валове нагромадження основного капіталу (н.к.)</w:t>
            </w:r>
          </w:p>
        </w:tc>
        <w:tc>
          <w:tcPr>
            <w:tcW w:w="2410" w:type="dxa"/>
          </w:tcPr>
          <w:p w14:paraId="481F93E9" w14:textId="77777777" w:rsidR="00072FF7" w:rsidRPr="00054673" w:rsidRDefault="00072FF7" w:rsidP="00054673">
            <w:pPr>
              <w:spacing w:after="0" w:line="240" w:lineRule="auto"/>
              <w:ind w:left="31"/>
              <w:rPr>
                <w:rFonts w:cs="Calibri"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sz w:val="24"/>
                <w:szCs w:val="24"/>
                <w:lang w:eastAsia="uk-UA" w:bidi="hi-IN"/>
              </w:rPr>
              <w:t xml:space="preserve">Невизначене валове нагромадження основного капіталу </w:t>
            </w:r>
          </w:p>
        </w:tc>
      </w:tr>
      <w:tr w:rsidR="00072FF7" w:rsidRPr="00054673" w14:paraId="1D9A76C7" w14:textId="77777777" w:rsidTr="00054673">
        <w:trPr>
          <w:trHeight w:val="240"/>
        </w:trPr>
        <w:tc>
          <w:tcPr>
            <w:tcW w:w="1696" w:type="dxa"/>
            <w:noWrap/>
          </w:tcPr>
          <w:p w14:paraId="2FC36725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b/>
                <w:bCs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b/>
                <w:bCs/>
                <w:sz w:val="24"/>
                <w:szCs w:val="24"/>
                <w:lang w:val="en-US" w:eastAsia="ru-RU" w:bidi="hi-IN"/>
              </w:rPr>
              <w:lastRenderedPageBreak/>
              <w:t>HKR</w:t>
            </w:r>
            <w:r w:rsidRPr="00054673">
              <w:rPr>
                <w:rFonts w:cs="Calibri"/>
                <w:b/>
                <w:bCs/>
                <w:sz w:val="24"/>
                <w:szCs w:val="24"/>
                <w:lang w:val="en-US" w:eastAsia="uk-UA" w:bidi="hi-IN"/>
              </w:rPr>
              <w:t>.</w:t>
            </w:r>
            <w:r w:rsidRPr="00054673">
              <w:rPr>
                <w:rFonts w:cs="Calibri"/>
                <w:b/>
                <w:bCs/>
                <w:sz w:val="24"/>
                <w:szCs w:val="24"/>
                <w:lang w:eastAsia="uk-UA" w:bidi="hi-IN"/>
              </w:rPr>
              <w:t>4</w:t>
            </w:r>
          </w:p>
        </w:tc>
        <w:tc>
          <w:tcPr>
            <w:tcW w:w="2694" w:type="dxa"/>
            <w:noWrap/>
          </w:tcPr>
          <w:p w14:paraId="7658B082" w14:textId="77777777" w:rsidR="00072FF7" w:rsidRPr="00EC0E5A" w:rsidRDefault="00072FF7" w:rsidP="00054673">
            <w:pPr>
              <w:spacing w:after="0" w:line="240" w:lineRule="auto"/>
              <w:ind w:left="29"/>
              <w:rPr>
                <w:rFonts w:cs="Calibri"/>
                <w:b/>
                <w:bCs/>
                <w:sz w:val="24"/>
                <w:szCs w:val="24"/>
                <w:lang w:val="en-AU" w:eastAsia="ru-RU" w:bidi="hi-IN"/>
              </w:rPr>
            </w:pPr>
            <w:r w:rsidRPr="00EC0E5A">
              <w:rPr>
                <w:rFonts w:cs="Calibri"/>
                <w:b/>
                <w:bCs/>
                <w:sz w:val="24"/>
                <w:szCs w:val="24"/>
                <w:lang w:val="en-AU" w:eastAsia="uk-UA" w:bidi="hi-IN"/>
              </w:rPr>
              <w:t>Research and development in health</w:t>
            </w:r>
          </w:p>
        </w:tc>
        <w:tc>
          <w:tcPr>
            <w:tcW w:w="2693" w:type="dxa"/>
          </w:tcPr>
          <w:p w14:paraId="437862AA" w14:textId="77777777" w:rsidR="00072FF7" w:rsidRPr="00054673" w:rsidRDefault="00072FF7" w:rsidP="00054673">
            <w:pPr>
              <w:spacing w:after="0" w:line="240" w:lineRule="auto"/>
              <w:ind w:left="37"/>
              <w:rPr>
                <w:rFonts w:cs="Calibri"/>
                <w:b/>
                <w:bCs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b/>
                <w:bCs/>
                <w:sz w:val="24"/>
                <w:szCs w:val="24"/>
                <w:lang w:eastAsia="uk-UA" w:bidi="hi-IN"/>
              </w:rPr>
              <w:t>Дослідження та розробки в галузі охорони здоров'я</w:t>
            </w:r>
          </w:p>
        </w:tc>
        <w:tc>
          <w:tcPr>
            <w:tcW w:w="2410" w:type="dxa"/>
          </w:tcPr>
          <w:p w14:paraId="7C6DDBE9" w14:textId="77777777" w:rsidR="00072FF7" w:rsidRPr="00054673" w:rsidRDefault="00072FF7" w:rsidP="00054673">
            <w:pPr>
              <w:spacing w:after="0" w:line="240" w:lineRule="auto"/>
              <w:ind w:left="31"/>
              <w:rPr>
                <w:rFonts w:cs="Calibri"/>
                <w:b/>
                <w:bCs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b/>
                <w:bCs/>
                <w:sz w:val="24"/>
                <w:szCs w:val="24"/>
                <w:lang w:eastAsia="uk-UA" w:bidi="hi-IN"/>
              </w:rPr>
              <w:t>Дослідження та розробки в галузі охорони здоров'я</w:t>
            </w:r>
          </w:p>
        </w:tc>
      </w:tr>
      <w:tr w:rsidR="00072FF7" w:rsidRPr="00054673" w14:paraId="1639167A" w14:textId="77777777" w:rsidTr="00054673">
        <w:trPr>
          <w:trHeight w:val="240"/>
        </w:trPr>
        <w:tc>
          <w:tcPr>
            <w:tcW w:w="1696" w:type="dxa"/>
            <w:noWrap/>
          </w:tcPr>
          <w:p w14:paraId="49CB70F5" w14:textId="77777777" w:rsidR="00072FF7" w:rsidRPr="00054673" w:rsidRDefault="00072FF7" w:rsidP="00054673">
            <w:pPr>
              <w:spacing w:after="0" w:line="240" w:lineRule="auto"/>
              <w:ind w:left="22"/>
              <w:rPr>
                <w:rFonts w:cs="Calibri"/>
                <w:b/>
                <w:bCs/>
                <w:sz w:val="24"/>
                <w:szCs w:val="24"/>
                <w:lang w:eastAsia="ru-RU" w:bidi="hi-IN"/>
              </w:rPr>
            </w:pPr>
            <w:r w:rsidRPr="00054673">
              <w:rPr>
                <w:rFonts w:cs="Calibri"/>
                <w:b/>
                <w:bCs/>
                <w:sz w:val="24"/>
                <w:szCs w:val="24"/>
                <w:lang w:val="en-US" w:eastAsia="ru-RU" w:bidi="hi-IN"/>
              </w:rPr>
              <w:t>HKR</w:t>
            </w:r>
            <w:r w:rsidRPr="00054673">
              <w:rPr>
                <w:rFonts w:cs="Calibri"/>
                <w:b/>
                <w:bCs/>
                <w:sz w:val="24"/>
                <w:szCs w:val="24"/>
                <w:lang w:val="en-US" w:eastAsia="uk-UA" w:bidi="hi-IN"/>
              </w:rPr>
              <w:t>.</w:t>
            </w:r>
            <w:r w:rsidRPr="00054673">
              <w:rPr>
                <w:rFonts w:cs="Calibri"/>
                <w:b/>
                <w:bCs/>
                <w:sz w:val="24"/>
                <w:szCs w:val="24"/>
                <w:lang w:eastAsia="uk-UA" w:bidi="hi-IN"/>
              </w:rPr>
              <w:t>5</w:t>
            </w:r>
          </w:p>
        </w:tc>
        <w:tc>
          <w:tcPr>
            <w:tcW w:w="2694" w:type="dxa"/>
            <w:noWrap/>
          </w:tcPr>
          <w:p w14:paraId="1CB9377B" w14:textId="77777777" w:rsidR="00072FF7" w:rsidRPr="00EC0E5A" w:rsidRDefault="00072FF7" w:rsidP="00054673">
            <w:pPr>
              <w:spacing w:after="0" w:line="240" w:lineRule="auto"/>
              <w:ind w:left="29"/>
              <w:rPr>
                <w:rFonts w:cs="Calibri"/>
                <w:b/>
                <w:bCs/>
                <w:sz w:val="24"/>
                <w:szCs w:val="24"/>
                <w:lang w:val="en-AU" w:eastAsia="ru-RU" w:bidi="hi-IN"/>
              </w:rPr>
            </w:pPr>
            <w:r w:rsidRPr="00EC0E5A">
              <w:rPr>
                <w:rFonts w:cs="Calibri"/>
                <w:b/>
                <w:bCs/>
                <w:sz w:val="24"/>
                <w:szCs w:val="24"/>
                <w:lang w:val="en-AU" w:eastAsia="uk-UA" w:bidi="hi-IN"/>
              </w:rPr>
              <w:t>Education and training of health personnel</w:t>
            </w:r>
          </w:p>
        </w:tc>
        <w:tc>
          <w:tcPr>
            <w:tcW w:w="2693" w:type="dxa"/>
          </w:tcPr>
          <w:p w14:paraId="0892204F" w14:textId="77777777" w:rsidR="00072FF7" w:rsidRPr="00054673" w:rsidRDefault="00072FF7" w:rsidP="00054673">
            <w:pPr>
              <w:spacing w:after="0" w:line="240" w:lineRule="auto"/>
              <w:ind w:left="37"/>
              <w:rPr>
                <w:rFonts w:cs="Calibri"/>
                <w:b/>
                <w:bCs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b/>
                <w:bCs/>
                <w:sz w:val="24"/>
                <w:szCs w:val="24"/>
                <w:lang w:eastAsia="uk-UA" w:bidi="hi-IN"/>
              </w:rPr>
              <w:t>Навчання та</w:t>
            </w:r>
            <w:r w:rsidRPr="00054673">
              <w:rPr>
                <w:rFonts w:cs="Calibri"/>
                <w:b/>
                <w:bCs/>
                <w:sz w:val="24"/>
                <w:szCs w:val="24"/>
                <w:lang w:val="ru-RU" w:eastAsia="uk-UA" w:bidi="hi-IN"/>
              </w:rPr>
              <w:t xml:space="preserve"> </w:t>
            </w:r>
            <w:r w:rsidRPr="00054673">
              <w:rPr>
                <w:rFonts w:cs="Calibri"/>
                <w:b/>
                <w:bCs/>
                <w:sz w:val="24"/>
                <w:szCs w:val="24"/>
                <w:lang w:eastAsia="uk-UA" w:bidi="hi-IN"/>
              </w:rPr>
              <w:t>тренінг медичних працівників</w:t>
            </w:r>
          </w:p>
        </w:tc>
        <w:tc>
          <w:tcPr>
            <w:tcW w:w="2410" w:type="dxa"/>
          </w:tcPr>
          <w:p w14:paraId="68EE3A22" w14:textId="77777777" w:rsidR="00072FF7" w:rsidRPr="00054673" w:rsidRDefault="00072FF7" w:rsidP="00054673">
            <w:pPr>
              <w:spacing w:after="0" w:line="240" w:lineRule="auto"/>
              <w:ind w:left="31"/>
              <w:rPr>
                <w:rFonts w:cs="Calibri"/>
                <w:b/>
                <w:bCs/>
                <w:sz w:val="24"/>
                <w:szCs w:val="24"/>
                <w:lang w:eastAsia="uk-UA" w:bidi="hi-IN"/>
              </w:rPr>
            </w:pPr>
            <w:r w:rsidRPr="00054673">
              <w:rPr>
                <w:rFonts w:cs="Calibri"/>
                <w:b/>
                <w:bCs/>
                <w:sz w:val="24"/>
                <w:szCs w:val="24"/>
                <w:lang w:eastAsia="uk-UA" w:bidi="hi-IN"/>
              </w:rPr>
              <w:t>Навчання та тренінг медичних працівників</w:t>
            </w:r>
          </w:p>
        </w:tc>
      </w:tr>
    </w:tbl>
    <w:p w14:paraId="271FFDEB" w14:textId="4F01AA9D" w:rsidR="00072FF7" w:rsidRPr="001C4441" w:rsidRDefault="00072FF7" w:rsidP="007578A6">
      <w:pPr>
        <w:spacing w:after="0" w:line="240" w:lineRule="auto"/>
        <w:rPr>
          <w:rFonts w:cs="Calibri"/>
          <w:lang w:eastAsia="ru-RU" w:bidi="hi-IN"/>
        </w:rPr>
      </w:pPr>
    </w:p>
    <w:sectPr w:rsidR="00072FF7" w:rsidRPr="001C4441" w:rsidSect="001833D0">
      <w:headerReference w:type="default" r:id="rId8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2F5D8" w14:textId="77777777" w:rsidR="0093756C" w:rsidRDefault="0093756C" w:rsidP="00B800D8">
      <w:pPr>
        <w:spacing w:after="0" w:line="240" w:lineRule="auto"/>
      </w:pPr>
      <w:r>
        <w:separator/>
      </w:r>
    </w:p>
  </w:endnote>
  <w:endnote w:type="continuationSeparator" w:id="0">
    <w:p w14:paraId="4799575F" w14:textId="77777777" w:rsidR="0093756C" w:rsidRDefault="0093756C" w:rsidP="00B8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8D6E" w14:textId="77777777" w:rsidR="0093756C" w:rsidRDefault="0093756C" w:rsidP="00B800D8">
      <w:pPr>
        <w:spacing w:after="0" w:line="240" w:lineRule="auto"/>
      </w:pPr>
      <w:r>
        <w:separator/>
      </w:r>
    </w:p>
  </w:footnote>
  <w:footnote w:type="continuationSeparator" w:id="0">
    <w:p w14:paraId="75CF052F" w14:textId="77777777" w:rsidR="0093756C" w:rsidRDefault="0093756C" w:rsidP="00B8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95B6E" w14:textId="77777777" w:rsidR="0093756C" w:rsidRDefault="0093756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BD27E3">
      <w:rPr>
        <w:noProof/>
        <w:lang w:val="uk-UA"/>
      </w:rPr>
      <w:t>16</w:t>
    </w:r>
    <w:r>
      <w:rPr>
        <w:noProof/>
        <w:lang w:val="uk-UA"/>
      </w:rPr>
      <w:fldChar w:fldCharType="end"/>
    </w:r>
  </w:p>
  <w:p w14:paraId="540582D8" w14:textId="77777777" w:rsidR="0093756C" w:rsidRDefault="0093756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"/>
      </v:shape>
    </w:pict>
  </w:numPicBullet>
  <w:abstractNum w:abstractNumId="0" w15:restartNumberingAfterBreak="0">
    <w:nsid w:val="00340B7E"/>
    <w:multiLevelType w:val="hybridMultilevel"/>
    <w:tmpl w:val="719CD7D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796D"/>
    <w:multiLevelType w:val="hybridMultilevel"/>
    <w:tmpl w:val="AE4886E4"/>
    <w:lvl w:ilvl="0" w:tplc="DF9C1BF4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184498F"/>
    <w:multiLevelType w:val="hybridMultilevel"/>
    <w:tmpl w:val="56242600"/>
    <w:lvl w:ilvl="0" w:tplc="84541D96">
      <w:numFmt w:val="bullet"/>
      <w:lvlText w:val="-"/>
      <w:lvlJc w:val="left"/>
      <w:pPr>
        <w:tabs>
          <w:tab w:val="num" w:pos="1344"/>
        </w:tabs>
        <w:ind w:left="1344" w:hanging="80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192673D"/>
    <w:multiLevelType w:val="hybridMultilevel"/>
    <w:tmpl w:val="9EA46A3A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2FC24D5"/>
    <w:multiLevelType w:val="multilevel"/>
    <w:tmpl w:val="71184532"/>
    <w:styleLink w:val="myBulletMultilevel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  <w:color w:val="0070C0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"/>
      <w:lvlJc w:val="left"/>
      <w:pPr>
        <w:ind w:left="1785" w:hanging="35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cs="Times New Roman" w:hint="default"/>
      </w:rPr>
    </w:lvl>
  </w:abstractNum>
  <w:abstractNum w:abstractNumId="5" w15:restartNumberingAfterBreak="0">
    <w:nsid w:val="04C34FE5"/>
    <w:multiLevelType w:val="hybridMultilevel"/>
    <w:tmpl w:val="E470290A"/>
    <w:lvl w:ilvl="0" w:tplc="547A35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9C45516"/>
    <w:multiLevelType w:val="hybridMultilevel"/>
    <w:tmpl w:val="60C27322"/>
    <w:lvl w:ilvl="0" w:tplc="6876E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3B060F"/>
    <w:multiLevelType w:val="multilevel"/>
    <w:tmpl w:val="71184532"/>
    <w:numStyleLink w:val="myBulletMultilevel"/>
  </w:abstractNum>
  <w:abstractNum w:abstractNumId="8" w15:restartNumberingAfterBreak="0">
    <w:nsid w:val="0F655B5F"/>
    <w:multiLevelType w:val="multilevel"/>
    <w:tmpl w:val="B28C438E"/>
    <w:styleLink w:val="myNumberBulletsMultilevel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u w:color="0070C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85623"/>
        <w:u w:color="0070C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833C0B"/>
        <w:u w:color="C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206C09A4"/>
    <w:multiLevelType w:val="multilevel"/>
    <w:tmpl w:val="71184532"/>
    <w:numStyleLink w:val="myBulletMultilevel"/>
  </w:abstractNum>
  <w:abstractNum w:abstractNumId="10" w15:restartNumberingAfterBreak="0">
    <w:nsid w:val="231D5105"/>
    <w:multiLevelType w:val="hybridMultilevel"/>
    <w:tmpl w:val="DC4CFE5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4B53E7"/>
    <w:multiLevelType w:val="hybridMultilevel"/>
    <w:tmpl w:val="C78CE51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6E2779"/>
    <w:multiLevelType w:val="hybridMultilevel"/>
    <w:tmpl w:val="D666C110"/>
    <w:lvl w:ilvl="0" w:tplc="5BEE1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97A6F9F"/>
    <w:multiLevelType w:val="hybridMultilevel"/>
    <w:tmpl w:val="FD2E954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8A3E14"/>
    <w:multiLevelType w:val="hybridMultilevel"/>
    <w:tmpl w:val="8DDA8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62A3612"/>
    <w:multiLevelType w:val="multilevel"/>
    <w:tmpl w:val="E0CA4800"/>
    <w:styleLink w:val="myNumbersMultilevel"/>
    <w:lvl w:ilvl="0">
      <w:start w:val="1"/>
      <w:numFmt w:val="decima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9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1"/>
        </w:tabs>
        <w:ind w:left="2041" w:hanging="397"/>
      </w:pPr>
      <w:rPr>
        <w:rFonts w:cs="Times New Roman" w:hint="default"/>
      </w:rPr>
    </w:lvl>
    <w:lvl w:ilvl="5">
      <w:start w:val="1"/>
      <w:numFmt w:val="bullet"/>
      <w:lvlRestart w:val="0"/>
      <w:lvlText w:val="o"/>
      <w:lvlJc w:val="left"/>
      <w:pPr>
        <w:ind w:left="794" w:hanging="454"/>
      </w:pPr>
      <w:rPr>
        <w:rFonts w:ascii="Courier New" w:hAnsi="Courier New" w:hint="default"/>
      </w:rPr>
    </w:lvl>
    <w:lvl w:ilvl="6">
      <w:start w:val="1"/>
      <w:numFmt w:val="bullet"/>
      <w:lvlRestart w:val="0"/>
      <w:lvlText w:val=""/>
      <w:lvlJc w:val="left"/>
      <w:pPr>
        <w:ind w:left="1361" w:hanging="567"/>
      </w:pPr>
      <w:rPr>
        <w:rFonts w:ascii="Symbol" w:hAnsi="Symbol" w:hint="default"/>
        <w:color w:val="auto"/>
      </w:rPr>
    </w:lvl>
    <w:lvl w:ilvl="7">
      <w:start w:val="1"/>
      <w:numFmt w:val="none"/>
      <w:lvlRestart w:val="0"/>
      <w:lvlText w:val=""/>
      <w:lvlJc w:val="left"/>
      <w:pPr>
        <w:ind w:left="340"/>
      </w:pPr>
      <w:rPr>
        <w:rFonts w:cs="Times New Roman" w:hint="default"/>
        <w:color w:val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3A2554F0"/>
    <w:multiLevelType w:val="multilevel"/>
    <w:tmpl w:val="A7CCE77C"/>
    <w:lvl w:ilvl="0">
      <w:start w:val="1"/>
      <w:numFmt w:val="decimal"/>
      <w:pStyle w:val="ListBulletCV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3B05754E"/>
    <w:multiLevelType w:val="hybridMultilevel"/>
    <w:tmpl w:val="27B48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212"/>
    <w:multiLevelType w:val="hybridMultilevel"/>
    <w:tmpl w:val="ACCA7484"/>
    <w:lvl w:ilvl="0" w:tplc="F2FEAA6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B0412A5"/>
    <w:multiLevelType w:val="hybridMultilevel"/>
    <w:tmpl w:val="AE8242B6"/>
    <w:lvl w:ilvl="0" w:tplc="CE1CA3F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55D08E3"/>
    <w:multiLevelType w:val="hybridMultilevel"/>
    <w:tmpl w:val="AC9A2E12"/>
    <w:lvl w:ilvl="0" w:tplc="B484CC5E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5A0D6CD6"/>
    <w:multiLevelType w:val="multilevel"/>
    <w:tmpl w:val="00728942"/>
    <w:lvl w:ilvl="0">
      <w:start w:val="1"/>
      <w:numFmt w:val="bullet"/>
      <w:pStyle w:val="ListBullet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09"/>
        </w:tabs>
        <w:ind w:left="1816" w:hanging="22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36"/>
        </w:tabs>
        <w:ind w:left="2043" w:hanging="227"/>
      </w:pPr>
      <w:rPr>
        <w:rFonts w:ascii="Wingdings" w:hAnsi="Wingdings" w:hint="default"/>
      </w:rPr>
    </w:lvl>
  </w:abstractNum>
  <w:abstractNum w:abstractNumId="22" w15:restartNumberingAfterBreak="0">
    <w:nsid w:val="5A901C8D"/>
    <w:multiLevelType w:val="hybridMultilevel"/>
    <w:tmpl w:val="290AB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DB41BC"/>
    <w:multiLevelType w:val="hybridMultilevel"/>
    <w:tmpl w:val="FD762F44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F45969"/>
    <w:multiLevelType w:val="hybridMultilevel"/>
    <w:tmpl w:val="AE44DBCC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67EA5C3E"/>
    <w:multiLevelType w:val="hybridMultilevel"/>
    <w:tmpl w:val="9AFC608C"/>
    <w:lvl w:ilvl="0" w:tplc="84541D96">
      <w:numFmt w:val="bullet"/>
      <w:lvlText w:val="-"/>
      <w:lvlJc w:val="left"/>
      <w:pPr>
        <w:tabs>
          <w:tab w:val="num" w:pos="1524"/>
        </w:tabs>
        <w:ind w:left="1524" w:hanging="80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DD67BE4"/>
    <w:multiLevelType w:val="hybridMultilevel"/>
    <w:tmpl w:val="1932EA6C"/>
    <w:lvl w:ilvl="0" w:tplc="1EF6301C">
      <w:start w:val="8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411A4"/>
    <w:multiLevelType w:val="hybridMultilevel"/>
    <w:tmpl w:val="D1A4F748"/>
    <w:lvl w:ilvl="0" w:tplc="84541D96">
      <w:numFmt w:val="bullet"/>
      <w:lvlText w:val="-"/>
      <w:lvlJc w:val="left"/>
      <w:pPr>
        <w:tabs>
          <w:tab w:val="num" w:pos="1884"/>
        </w:tabs>
        <w:ind w:left="1884" w:hanging="80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FF725CA"/>
    <w:multiLevelType w:val="hybridMultilevel"/>
    <w:tmpl w:val="D014210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D576A2"/>
    <w:multiLevelType w:val="hybridMultilevel"/>
    <w:tmpl w:val="2C1A4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6D644EB"/>
    <w:multiLevelType w:val="hybridMultilevel"/>
    <w:tmpl w:val="3446BC3A"/>
    <w:lvl w:ilvl="0" w:tplc="E0EC78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62957"/>
    <w:multiLevelType w:val="multilevel"/>
    <w:tmpl w:val="766EDA8A"/>
    <w:lvl w:ilvl="0">
      <w:start w:val="1"/>
      <w:numFmt w:val="decimal"/>
      <w:pStyle w:val="ListNumberT"/>
      <w:lvlText w:val="%1."/>
      <w:lvlJc w:val="left"/>
      <w:pPr>
        <w:tabs>
          <w:tab w:val="num" w:pos="369"/>
        </w:tabs>
        <w:ind w:left="340" w:hanging="340"/>
      </w:pPr>
      <w:rPr>
        <w:rFonts w:ascii="Tahoma" w:hAnsi="Tahoma" w:cs="Times New Roman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ascii="Tahoma" w:hAnsi="Tahoma" w:cs="Times New Roman" w:hint="default"/>
        <w:sz w:val="16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Tahoma" w:hAnsi="Tahoma" w:cs="Times New Roman" w:hint="default"/>
        <w:sz w:val="16"/>
      </w:rPr>
    </w:lvl>
    <w:lvl w:ilvl="3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sz w:val="16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C00000"/>
      </w:rPr>
    </w:lvl>
    <w:lvl w:ilvl="5">
      <w:start w:val="1"/>
      <w:numFmt w:val="decimal"/>
      <w:lvlText w:val="%1.%2.%3.%4.%5.%6."/>
      <w:lvlJc w:val="left"/>
      <w:pPr>
        <w:tabs>
          <w:tab w:val="num" w:pos="369"/>
        </w:tabs>
        <w:ind w:left="340" w:hanging="3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"/>
        </w:tabs>
        <w:ind w:left="34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"/>
        </w:tabs>
        <w:ind w:left="340" w:hanging="3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9"/>
        </w:tabs>
        <w:ind w:left="340" w:hanging="340"/>
      </w:pPr>
      <w:rPr>
        <w:rFonts w:cs="Times New Roman" w:hint="default"/>
      </w:rPr>
    </w:lvl>
  </w:abstractNum>
  <w:num w:numId="1">
    <w:abstractNumId w:val="5"/>
  </w:num>
  <w:num w:numId="2">
    <w:abstractNumId w:val="24"/>
  </w:num>
  <w:num w:numId="3">
    <w:abstractNumId w:val="1"/>
  </w:num>
  <w:num w:numId="4">
    <w:abstractNumId w:val="2"/>
  </w:num>
  <w:num w:numId="5">
    <w:abstractNumId w:val="20"/>
  </w:num>
  <w:num w:numId="6">
    <w:abstractNumId w:val="23"/>
  </w:num>
  <w:num w:numId="7">
    <w:abstractNumId w:val="3"/>
  </w:num>
  <w:num w:numId="8">
    <w:abstractNumId w:val="25"/>
  </w:num>
  <w:num w:numId="9">
    <w:abstractNumId w:val="27"/>
  </w:num>
  <w:num w:numId="10">
    <w:abstractNumId w:val="0"/>
  </w:num>
  <w:num w:numId="11">
    <w:abstractNumId w:val="2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7"/>
  </w:num>
  <w:num w:numId="16">
    <w:abstractNumId w:val="26"/>
  </w:num>
  <w:num w:numId="17">
    <w:abstractNumId w:val="19"/>
  </w:num>
  <w:num w:numId="18">
    <w:abstractNumId w:val="22"/>
  </w:num>
  <w:num w:numId="19">
    <w:abstractNumId w:val="10"/>
  </w:num>
  <w:num w:numId="20">
    <w:abstractNumId w:val="21"/>
  </w:num>
  <w:num w:numId="21">
    <w:abstractNumId w:val="31"/>
  </w:num>
  <w:num w:numId="22">
    <w:abstractNumId w:val="4"/>
  </w:num>
  <w:num w:numId="23">
    <w:abstractNumId w:val="15"/>
  </w:num>
  <w:num w:numId="24">
    <w:abstractNumId w:val="8"/>
  </w:num>
  <w:num w:numId="25">
    <w:abstractNumId w:val="30"/>
  </w:num>
  <w:num w:numId="26">
    <w:abstractNumId w:val="16"/>
  </w:num>
  <w:num w:numId="27">
    <w:abstractNumId w:val="28"/>
  </w:num>
  <w:num w:numId="28">
    <w:abstractNumId w:val="13"/>
  </w:num>
  <w:num w:numId="29">
    <w:abstractNumId w:val="7"/>
  </w:num>
  <w:num w:numId="30">
    <w:abstractNumId w:val="9"/>
  </w:num>
  <w:num w:numId="31">
    <w:abstractNumId w:val="1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8D"/>
    <w:rsid w:val="00000950"/>
    <w:rsid w:val="000012E0"/>
    <w:rsid w:val="00004A6B"/>
    <w:rsid w:val="000079EA"/>
    <w:rsid w:val="0001256A"/>
    <w:rsid w:val="00014462"/>
    <w:rsid w:val="00014A08"/>
    <w:rsid w:val="00014B58"/>
    <w:rsid w:val="0001658A"/>
    <w:rsid w:val="00016A65"/>
    <w:rsid w:val="00017B18"/>
    <w:rsid w:val="000215B2"/>
    <w:rsid w:val="00021D2E"/>
    <w:rsid w:val="00024579"/>
    <w:rsid w:val="000329FB"/>
    <w:rsid w:val="000351C1"/>
    <w:rsid w:val="0003617A"/>
    <w:rsid w:val="00040182"/>
    <w:rsid w:val="00041114"/>
    <w:rsid w:val="000465A9"/>
    <w:rsid w:val="00050983"/>
    <w:rsid w:val="00052EA8"/>
    <w:rsid w:val="00053843"/>
    <w:rsid w:val="00054673"/>
    <w:rsid w:val="000549B1"/>
    <w:rsid w:val="000569D1"/>
    <w:rsid w:val="00063910"/>
    <w:rsid w:val="00065DF7"/>
    <w:rsid w:val="00065FF2"/>
    <w:rsid w:val="000660C5"/>
    <w:rsid w:val="00071329"/>
    <w:rsid w:val="00071B16"/>
    <w:rsid w:val="0007283C"/>
    <w:rsid w:val="00072FF7"/>
    <w:rsid w:val="000750CE"/>
    <w:rsid w:val="00077223"/>
    <w:rsid w:val="00080A4D"/>
    <w:rsid w:val="00081FC1"/>
    <w:rsid w:val="0008488D"/>
    <w:rsid w:val="00085809"/>
    <w:rsid w:val="00091D51"/>
    <w:rsid w:val="00091F19"/>
    <w:rsid w:val="000925E1"/>
    <w:rsid w:val="00093900"/>
    <w:rsid w:val="000A10FF"/>
    <w:rsid w:val="000A1848"/>
    <w:rsid w:val="000A4823"/>
    <w:rsid w:val="000B012A"/>
    <w:rsid w:val="000B0824"/>
    <w:rsid w:val="000B2BDB"/>
    <w:rsid w:val="000B303F"/>
    <w:rsid w:val="000B52AB"/>
    <w:rsid w:val="000C14CD"/>
    <w:rsid w:val="000C27CE"/>
    <w:rsid w:val="000C2B01"/>
    <w:rsid w:val="000C3DCC"/>
    <w:rsid w:val="000C54CB"/>
    <w:rsid w:val="000C6F23"/>
    <w:rsid w:val="000C7CA4"/>
    <w:rsid w:val="000D07D6"/>
    <w:rsid w:val="000D0BCA"/>
    <w:rsid w:val="000D41A4"/>
    <w:rsid w:val="000D62BA"/>
    <w:rsid w:val="000D63C0"/>
    <w:rsid w:val="000D68D8"/>
    <w:rsid w:val="000D6C73"/>
    <w:rsid w:val="000D75E7"/>
    <w:rsid w:val="000D785A"/>
    <w:rsid w:val="000E0040"/>
    <w:rsid w:val="000E0E33"/>
    <w:rsid w:val="000E1B32"/>
    <w:rsid w:val="000F2136"/>
    <w:rsid w:val="00100FB5"/>
    <w:rsid w:val="00103348"/>
    <w:rsid w:val="0011387B"/>
    <w:rsid w:val="00114F7D"/>
    <w:rsid w:val="00115520"/>
    <w:rsid w:val="001170E4"/>
    <w:rsid w:val="001201CF"/>
    <w:rsid w:val="00121378"/>
    <w:rsid w:val="00122035"/>
    <w:rsid w:val="00122618"/>
    <w:rsid w:val="00122B0A"/>
    <w:rsid w:val="0012429A"/>
    <w:rsid w:val="0012438F"/>
    <w:rsid w:val="00124402"/>
    <w:rsid w:val="00125244"/>
    <w:rsid w:val="00126199"/>
    <w:rsid w:val="00126AC5"/>
    <w:rsid w:val="00126B33"/>
    <w:rsid w:val="001277B7"/>
    <w:rsid w:val="001278A3"/>
    <w:rsid w:val="001311B8"/>
    <w:rsid w:val="00132486"/>
    <w:rsid w:val="0013768B"/>
    <w:rsid w:val="00137A4B"/>
    <w:rsid w:val="00141A13"/>
    <w:rsid w:val="00142849"/>
    <w:rsid w:val="00145372"/>
    <w:rsid w:val="00146FF4"/>
    <w:rsid w:val="0015163B"/>
    <w:rsid w:val="001516C1"/>
    <w:rsid w:val="00151963"/>
    <w:rsid w:val="001564DF"/>
    <w:rsid w:val="00160988"/>
    <w:rsid w:val="00167226"/>
    <w:rsid w:val="001674B4"/>
    <w:rsid w:val="0017223E"/>
    <w:rsid w:val="00176BCD"/>
    <w:rsid w:val="00182C38"/>
    <w:rsid w:val="001833D0"/>
    <w:rsid w:val="00184A1E"/>
    <w:rsid w:val="00187E91"/>
    <w:rsid w:val="001A0CDD"/>
    <w:rsid w:val="001A1809"/>
    <w:rsid w:val="001A389F"/>
    <w:rsid w:val="001A5D8E"/>
    <w:rsid w:val="001B06AE"/>
    <w:rsid w:val="001B4A33"/>
    <w:rsid w:val="001B593E"/>
    <w:rsid w:val="001B5CCF"/>
    <w:rsid w:val="001B6472"/>
    <w:rsid w:val="001B65D1"/>
    <w:rsid w:val="001C30D2"/>
    <w:rsid w:val="001C4441"/>
    <w:rsid w:val="001D0E18"/>
    <w:rsid w:val="001D1D22"/>
    <w:rsid w:val="001D5104"/>
    <w:rsid w:val="001E1A67"/>
    <w:rsid w:val="001E41D0"/>
    <w:rsid w:val="001E5352"/>
    <w:rsid w:val="001E662E"/>
    <w:rsid w:val="001E6A4D"/>
    <w:rsid w:val="001E72A1"/>
    <w:rsid w:val="001F04A4"/>
    <w:rsid w:val="001F085A"/>
    <w:rsid w:val="001F0C76"/>
    <w:rsid w:val="001F1895"/>
    <w:rsid w:val="001F26D0"/>
    <w:rsid w:val="001F5758"/>
    <w:rsid w:val="001F78DF"/>
    <w:rsid w:val="0020026A"/>
    <w:rsid w:val="0020300B"/>
    <w:rsid w:val="0020391A"/>
    <w:rsid w:val="00205346"/>
    <w:rsid w:val="002079F8"/>
    <w:rsid w:val="002127FC"/>
    <w:rsid w:val="00214663"/>
    <w:rsid w:val="00215D8D"/>
    <w:rsid w:val="00216BD3"/>
    <w:rsid w:val="00226D9E"/>
    <w:rsid w:val="002273D9"/>
    <w:rsid w:val="002335A6"/>
    <w:rsid w:val="0023390A"/>
    <w:rsid w:val="0023456C"/>
    <w:rsid w:val="00235C06"/>
    <w:rsid w:val="00237CD9"/>
    <w:rsid w:val="00240566"/>
    <w:rsid w:val="00242E89"/>
    <w:rsid w:val="00246FC0"/>
    <w:rsid w:val="00251E86"/>
    <w:rsid w:val="00253A27"/>
    <w:rsid w:val="002542D9"/>
    <w:rsid w:val="00255145"/>
    <w:rsid w:val="00255448"/>
    <w:rsid w:val="00256EFE"/>
    <w:rsid w:val="002604E3"/>
    <w:rsid w:val="00261EB8"/>
    <w:rsid w:val="002647AF"/>
    <w:rsid w:val="002666D1"/>
    <w:rsid w:val="00272434"/>
    <w:rsid w:val="00274EDE"/>
    <w:rsid w:val="002753E2"/>
    <w:rsid w:val="002755C6"/>
    <w:rsid w:val="0027599B"/>
    <w:rsid w:val="00283D55"/>
    <w:rsid w:val="00290264"/>
    <w:rsid w:val="00292CCF"/>
    <w:rsid w:val="002972DB"/>
    <w:rsid w:val="00297B5B"/>
    <w:rsid w:val="002A4CB6"/>
    <w:rsid w:val="002A5C44"/>
    <w:rsid w:val="002B18B2"/>
    <w:rsid w:val="002B1A71"/>
    <w:rsid w:val="002B1D3E"/>
    <w:rsid w:val="002B4ACD"/>
    <w:rsid w:val="002B5401"/>
    <w:rsid w:val="002B64A7"/>
    <w:rsid w:val="002B6C24"/>
    <w:rsid w:val="002B76E1"/>
    <w:rsid w:val="002B77D4"/>
    <w:rsid w:val="002C07A2"/>
    <w:rsid w:val="002C20E9"/>
    <w:rsid w:val="002C29B5"/>
    <w:rsid w:val="002C5A1E"/>
    <w:rsid w:val="002C66F2"/>
    <w:rsid w:val="002C705D"/>
    <w:rsid w:val="002C7706"/>
    <w:rsid w:val="002C78FB"/>
    <w:rsid w:val="002C7A30"/>
    <w:rsid w:val="002C7D27"/>
    <w:rsid w:val="002C7F22"/>
    <w:rsid w:val="002D0A00"/>
    <w:rsid w:val="002D1624"/>
    <w:rsid w:val="002D1744"/>
    <w:rsid w:val="002D2981"/>
    <w:rsid w:val="002D3B3A"/>
    <w:rsid w:val="002D5744"/>
    <w:rsid w:val="002E0D90"/>
    <w:rsid w:val="002E558C"/>
    <w:rsid w:val="002E57BD"/>
    <w:rsid w:val="002E5C47"/>
    <w:rsid w:val="002F0B05"/>
    <w:rsid w:val="002F1926"/>
    <w:rsid w:val="002F1DCF"/>
    <w:rsid w:val="002F2489"/>
    <w:rsid w:val="002F414B"/>
    <w:rsid w:val="002F59C3"/>
    <w:rsid w:val="002F6C97"/>
    <w:rsid w:val="003009F4"/>
    <w:rsid w:val="00301744"/>
    <w:rsid w:val="00301BC7"/>
    <w:rsid w:val="0030376B"/>
    <w:rsid w:val="00306877"/>
    <w:rsid w:val="00306F28"/>
    <w:rsid w:val="0031262B"/>
    <w:rsid w:val="00315FF5"/>
    <w:rsid w:val="00320CC6"/>
    <w:rsid w:val="00320E01"/>
    <w:rsid w:val="003222A7"/>
    <w:rsid w:val="003225B3"/>
    <w:rsid w:val="00325349"/>
    <w:rsid w:val="00325736"/>
    <w:rsid w:val="00327443"/>
    <w:rsid w:val="003353F1"/>
    <w:rsid w:val="00337E6C"/>
    <w:rsid w:val="00341ADD"/>
    <w:rsid w:val="00341C8A"/>
    <w:rsid w:val="00342B39"/>
    <w:rsid w:val="00345B09"/>
    <w:rsid w:val="00350823"/>
    <w:rsid w:val="00351686"/>
    <w:rsid w:val="00352A5E"/>
    <w:rsid w:val="00353F4E"/>
    <w:rsid w:val="00354D25"/>
    <w:rsid w:val="00355E7A"/>
    <w:rsid w:val="00356DCD"/>
    <w:rsid w:val="0036139E"/>
    <w:rsid w:val="00361D0F"/>
    <w:rsid w:val="00363B50"/>
    <w:rsid w:val="003658E0"/>
    <w:rsid w:val="00365E66"/>
    <w:rsid w:val="003674B0"/>
    <w:rsid w:val="0037318D"/>
    <w:rsid w:val="003763C5"/>
    <w:rsid w:val="00376613"/>
    <w:rsid w:val="003778B5"/>
    <w:rsid w:val="00381826"/>
    <w:rsid w:val="003833EF"/>
    <w:rsid w:val="00384DDD"/>
    <w:rsid w:val="00385EBA"/>
    <w:rsid w:val="00385EDD"/>
    <w:rsid w:val="00386CB7"/>
    <w:rsid w:val="00387C3F"/>
    <w:rsid w:val="00387F33"/>
    <w:rsid w:val="00390F2E"/>
    <w:rsid w:val="003948F3"/>
    <w:rsid w:val="00394E2C"/>
    <w:rsid w:val="00395746"/>
    <w:rsid w:val="00395D59"/>
    <w:rsid w:val="003A252E"/>
    <w:rsid w:val="003A4412"/>
    <w:rsid w:val="003A48F5"/>
    <w:rsid w:val="003A5942"/>
    <w:rsid w:val="003A72ED"/>
    <w:rsid w:val="003B141E"/>
    <w:rsid w:val="003B1B61"/>
    <w:rsid w:val="003B1CE3"/>
    <w:rsid w:val="003B2240"/>
    <w:rsid w:val="003B46B8"/>
    <w:rsid w:val="003B6204"/>
    <w:rsid w:val="003B6D19"/>
    <w:rsid w:val="003B7F6B"/>
    <w:rsid w:val="003C0881"/>
    <w:rsid w:val="003C0B61"/>
    <w:rsid w:val="003C165E"/>
    <w:rsid w:val="003C5AA9"/>
    <w:rsid w:val="003C7477"/>
    <w:rsid w:val="003C7661"/>
    <w:rsid w:val="003D1200"/>
    <w:rsid w:val="003D1D93"/>
    <w:rsid w:val="003D516F"/>
    <w:rsid w:val="003D5F89"/>
    <w:rsid w:val="003D670F"/>
    <w:rsid w:val="003D68BB"/>
    <w:rsid w:val="003D7AEA"/>
    <w:rsid w:val="003E0D79"/>
    <w:rsid w:val="003E3EBD"/>
    <w:rsid w:val="003E74B7"/>
    <w:rsid w:val="003F0782"/>
    <w:rsid w:val="003F1BA9"/>
    <w:rsid w:val="003F2F89"/>
    <w:rsid w:val="003F3B48"/>
    <w:rsid w:val="003F5A06"/>
    <w:rsid w:val="0040033D"/>
    <w:rsid w:val="00400BA6"/>
    <w:rsid w:val="00402439"/>
    <w:rsid w:val="004024F4"/>
    <w:rsid w:val="0040293C"/>
    <w:rsid w:val="00402E6C"/>
    <w:rsid w:val="0040416C"/>
    <w:rsid w:val="0040418F"/>
    <w:rsid w:val="00405528"/>
    <w:rsid w:val="004065CC"/>
    <w:rsid w:val="00407F03"/>
    <w:rsid w:val="0041011A"/>
    <w:rsid w:val="0041079C"/>
    <w:rsid w:val="00413ADE"/>
    <w:rsid w:val="0041558F"/>
    <w:rsid w:val="00415BFC"/>
    <w:rsid w:val="00416C19"/>
    <w:rsid w:val="00421185"/>
    <w:rsid w:val="004214D0"/>
    <w:rsid w:val="004219C1"/>
    <w:rsid w:val="00421DE3"/>
    <w:rsid w:val="00422FDC"/>
    <w:rsid w:val="004230D0"/>
    <w:rsid w:val="00425967"/>
    <w:rsid w:val="00427F80"/>
    <w:rsid w:val="004335C6"/>
    <w:rsid w:val="004359A3"/>
    <w:rsid w:val="00435F21"/>
    <w:rsid w:val="00436130"/>
    <w:rsid w:val="004420A1"/>
    <w:rsid w:val="00447DFC"/>
    <w:rsid w:val="00450266"/>
    <w:rsid w:val="0045201B"/>
    <w:rsid w:val="00452918"/>
    <w:rsid w:val="004535ED"/>
    <w:rsid w:val="00453AF4"/>
    <w:rsid w:val="004542C1"/>
    <w:rsid w:val="004542C6"/>
    <w:rsid w:val="004552EF"/>
    <w:rsid w:val="00455C7B"/>
    <w:rsid w:val="00462569"/>
    <w:rsid w:val="004637D9"/>
    <w:rsid w:val="004706C2"/>
    <w:rsid w:val="00474C1E"/>
    <w:rsid w:val="004777DB"/>
    <w:rsid w:val="004825A5"/>
    <w:rsid w:val="00482891"/>
    <w:rsid w:val="004831E9"/>
    <w:rsid w:val="0048447E"/>
    <w:rsid w:val="00490B72"/>
    <w:rsid w:val="00490F6B"/>
    <w:rsid w:val="004A087B"/>
    <w:rsid w:val="004A0DC3"/>
    <w:rsid w:val="004A0FCA"/>
    <w:rsid w:val="004A24C7"/>
    <w:rsid w:val="004A3EF1"/>
    <w:rsid w:val="004A5F17"/>
    <w:rsid w:val="004A6B91"/>
    <w:rsid w:val="004A6ED7"/>
    <w:rsid w:val="004B45FD"/>
    <w:rsid w:val="004B60D0"/>
    <w:rsid w:val="004C19AB"/>
    <w:rsid w:val="004D07A6"/>
    <w:rsid w:val="004D0E88"/>
    <w:rsid w:val="004D7D2B"/>
    <w:rsid w:val="004E3B48"/>
    <w:rsid w:val="004E4A68"/>
    <w:rsid w:val="004E6522"/>
    <w:rsid w:val="004F044B"/>
    <w:rsid w:val="004F2001"/>
    <w:rsid w:val="004F4586"/>
    <w:rsid w:val="004F506F"/>
    <w:rsid w:val="004F53E3"/>
    <w:rsid w:val="0050003A"/>
    <w:rsid w:val="00501E5F"/>
    <w:rsid w:val="00501EAD"/>
    <w:rsid w:val="00505316"/>
    <w:rsid w:val="005065FF"/>
    <w:rsid w:val="0051559F"/>
    <w:rsid w:val="0051728C"/>
    <w:rsid w:val="00521826"/>
    <w:rsid w:val="00522746"/>
    <w:rsid w:val="005233DC"/>
    <w:rsid w:val="00524455"/>
    <w:rsid w:val="0052756E"/>
    <w:rsid w:val="00530A78"/>
    <w:rsid w:val="00531EE0"/>
    <w:rsid w:val="00533233"/>
    <w:rsid w:val="00541B1D"/>
    <w:rsid w:val="0054234B"/>
    <w:rsid w:val="00542B8C"/>
    <w:rsid w:val="00543416"/>
    <w:rsid w:val="00544B43"/>
    <w:rsid w:val="00546BD8"/>
    <w:rsid w:val="00550676"/>
    <w:rsid w:val="00551554"/>
    <w:rsid w:val="00551618"/>
    <w:rsid w:val="00551CB0"/>
    <w:rsid w:val="00551E77"/>
    <w:rsid w:val="005521C1"/>
    <w:rsid w:val="00553052"/>
    <w:rsid w:val="005549BD"/>
    <w:rsid w:val="00561220"/>
    <w:rsid w:val="00565BBE"/>
    <w:rsid w:val="005741BB"/>
    <w:rsid w:val="005750D6"/>
    <w:rsid w:val="00581AD2"/>
    <w:rsid w:val="0058282D"/>
    <w:rsid w:val="00584B17"/>
    <w:rsid w:val="005857B7"/>
    <w:rsid w:val="00585DB3"/>
    <w:rsid w:val="0058631F"/>
    <w:rsid w:val="00587B88"/>
    <w:rsid w:val="00591781"/>
    <w:rsid w:val="00592732"/>
    <w:rsid w:val="00593F52"/>
    <w:rsid w:val="00594EE0"/>
    <w:rsid w:val="00596652"/>
    <w:rsid w:val="00596E26"/>
    <w:rsid w:val="005972C4"/>
    <w:rsid w:val="005A253F"/>
    <w:rsid w:val="005A3DB3"/>
    <w:rsid w:val="005A51C2"/>
    <w:rsid w:val="005A61F8"/>
    <w:rsid w:val="005B00AB"/>
    <w:rsid w:val="005B0203"/>
    <w:rsid w:val="005B32FD"/>
    <w:rsid w:val="005B3FE7"/>
    <w:rsid w:val="005B525A"/>
    <w:rsid w:val="005B7633"/>
    <w:rsid w:val="005C0FD6"/>
    <w:rsid w:val="005C3439"/>
    <w:rsid w:val="005C736C"/>
    <w:rsid w:val="005C75A0"/>
    <w:rsid w:val="005D112B"/>
    <w:rsid w:val="005D1B32"/>
    <w:rsid w:val="005D2D3C"/>
    <w:rsid w:val="005D2FD7"/>
    <w:rsid w:val="005D407D"/>
    <w:rsid w:val="005D5DB9"/>
    <w:rsid w:val="005D7A9E"/>
    <w:rsid w:val="005E4015"/>
    <w:rsid w:val="005F00E9"/>
    <w:rsid w:val="005F265D"/>
    <w:rsid w:val="005F35F7"/>
    <w:rsid w:val="005F65B3"/>
    <w:rsid w:val="00601CFF"/>
    <w:rsid w:val="006032C8"/>
    <w:rsid w:val="006071A3"/>
    <w:rsid w:val="00613078"/>
    <w:rsid w:val="006156F6"/>
    <w:rsid w:val="00622811"/>
    <w:rsid w:val="00623A47"/>
    <w:rsid w:val="00624B50"/>
    <w:rsid w:val="00625FA1"/>
    <w:rsid w:val="00626319"/>
    <w:rsid w:val="006263B5"/>
    <w:rsid w:val="006275E9"/>
    <w:rsid w:val="00630EF9"/>
    <w:rsid w:val="0063434E"/>
    <w:rsid w:val="0063435D"/>
    <w:rsid w:val="006373AC"/>
    <w:rsid w:val="00642E84"/>
    <w:rsid w:val="00650DA2"/>
    <w:rsid w:val="0065108C"/>
    <w:rsid w:val="006511CC"/>
    <w:rsid w:val="00660A95"/>
    <w:rsid w:val="006612C0"/>
    <w:rsid w:val="00663EB0"/>
    <w:rsid w:val="00666CF6"/>
    <w:rsid w:val="0066735B"/>
    <w:rsid w:val="0066741F"/>
    <w:rsid w:val="006709D0"/>
    <w:rsid w:val="00671A1B"/>
    <w:rsid w:val="006723B1"/>
    <w:rsid w:val="00672E85"/>
    <w:rsid w:val="00674A8E"/>
    <w:rsid w:val="00675C2A"/>
    <w:rsid w:val="00680A39"/>
    <w:rsid w:val="006856B4"/>
    <w:rsid w:val="00686053"/>
    <w:rsid w:val="0069087F"/>
    <w:rsid w:val="006911F9"/>
    <w:rsid w:val="00691BC7"/>
    <w:rsid w:val="0069469F"/>
    <w:rsid w:val="0069634D"/>
    <w:rsid w:val="006A1891"/>
    <w:rsid w:val="006A1ADC"/>
    <w:rsid w:val="006A373A"/>
    <w:rsid w:val="006A6EF8"/>
    <w:rsid w:val="006B47DF"/>
    <w:rsid w:val="006B66CF"/>
    <w:rsid w:val="006B6C69"/>
    <w:rsid w:val="006C67D8"/>
    <w:rsid w:val="006C72CA"/>
    <w:rsid w:val="006D34BC"/>
    <w:rsid w:val="006D4EE0"/>
    <w:rsid w:val="006D5219"/>
    <w:rsid w:val="006D7EEC"/>
    <w:rsid w:val="006E18ED"/>
    <w:rsid w:val="006E2FC1"/>
    <w:rsid w:val="006E4E44"/>
    <w:rsid w:val="006E51A4"/>
    <w:rsid w:val="006E652A"/>
    <w:rsid w:val="006E75D0"/>
    <w:rsid w:val="006F2412"/>
    <w:rsid w:val="006F3891"/>
    <w:rsid w:val="006F4022"/>
    <w:rsid w:val="006F461C"/>
    <w:rsid w:val="006F519E"/>
    <w:rsid w:val="006F67E6"/>
    <w:rsid w:val="006F781E"/>
    <w:rsid w:val="006F7D05"/>
    <w:rsid w:val="0070031B"/>
    <w:rsid w:val="00702A8D"/>
    <w:rsid w:val="00702B08"/>
    <w:rsid w:val="00704D0E"/>
    <w:rsid w:val="007100ED"/>
    <w:rsid w:val="0071030B"/>
    <w:rsid w:val="0071316A"/>
    <w:rsid w:val="007144C1"/>
    <w:rsid w:val="00715566"/>
    <w:rsid w:val="00716911"/>
    <w:rsid w:val="0073422D"/>
    <w:rsid w:val="00737371"/>
    <w:rsid w:val="00740B2F"/>
    <w:rsid w:val="00742BA1"/>
    <w:rsid w:val="00745CAF"/>
    <w:rsid w:val="00747891"/>
    <w:rsid w:val="00747A97"/>
    <w:rsid w:val="00747EE2"/>
    <w:rsid w:val="007506DE"/>
    <w:rsid w:val="00751D5D"/>
    <w:rsid w:val="00755847"/>
    <w:rsid w:val="007560EC"/>
    <w:rsid w:val="00757461"/>
    <w:rsid w:val="007578A6"/>
    <w:rsid w:val="007615C9"/>
    <w:rsid w:val="0076613D"/>
    <w:rsid w:val="00771A34"/>
    <w:rsid w:val="00773C71"/>
    <w:rsid w:val="007810AC"/>
    <w:rsid w:val="00782C6D"/>
    <w:rsid w:val="00782CCD"/>
    <w:rsid w:val="00783609"/>
    <w:rsid w:val="00786F95"/>
    <w:rsid w:val="00790070"/>
    <w:rsid w:val="007918AB"/>
    <w:rsid w:val="00794238"/>
    <w:rsid w:val="00796DA7"/>
    <w:rsid w:val="00796F01"/>
    <w:rsid w:val="00797A12"/>
    <w:rsid w:val="007A028D"/>
    <w:rsid w:val="007A03D4"/>
    <w:rsid w:val="007A159A"/>
    <w:rsid w:val="007A33D2"/>
    <w:rsid w:val="007A58B2"/>
    <w:rsid w:val="007A6C52"/>
    <w:rsid w:val="007A7486"/>
    <w:rsid w:val="007B1604"/>
    <w:rsid w:val="007B16D3"/>
    <w:rsid w:val="007B290C"/>
    <w:rsid w:val="007B2D2A"/>
    <w:rsid w:val="007B4AF1"/>
    <w:rsid w:val="007B7051"/>
    <w:rsid w:val="007C1CF5"/>
    <w:rsid w:val="007C375C"/>
    <w:rsid w:val="007C4182"/>
    <w:rsid w:val="007C533A"/>
    <w:rsid w:val="007D01A6"/>
    <w:rsid w:val="007D099F"/>
    <w:rsid w:val="007D1FC3"/>
    <w:rsid w:val="007D3805"/>
    <w:rsid w:val="007D43CE"/>
    <w:rsid w:val="007D72FF"/>
    <w:rsid w:val="007D7E2E"/>
    <w:rsid w:val="007E1C86"/>
    <w:rsid w:val="007E5541"/>
    <w:rsid w:val="007E56D9"/>
    <w:rsid w:val="007E679B"/>
    <w:rsid w:val="007F3950"/>
    <w:rsid w:val="007F3B2E"/>
    <w:rsid w:val="007F54BE"/>
    <w:rsid w:val="007F60C4"/>
    <w:rsid w:val="007F6871"/>
    <w:rsid w:val="007F68C7"/>
    <w:rsid w:val="0080353E"/>
    <w:rsid w:val="008039A6"/>
    <w:rsid w:val="00803D1D"/>
    <w:rsid w:val="0080633D"/>
    <w:rsid w:val="00807C3B"/>
    <w:rsid w:val="008103DA"/>
    <w:rsid w:val="008105A0"/>
    <w:rsid w:val="008165C7"/>
    <w:rsid w:val="00817EA6"/>
    <w:rsid w:val="00822ABD"/>
    <w:rsid w:val="00824789"/>
    <w:rsid w:val="008263AB"/>
    <w:rsid w:val="00826E16"/>
    <w:rsid w:val="008351AE"/>
    <w:rsid w:val="008357DC"/>
    <w:rsid w:val="00840868"/>
    <w:rsid w:val="008445C9"/>
    <w:rsid w:val="008505E5"/>
    <w:rsid w:val="00853C93"/>
    <w:rsid w:val="00863D71"/>
    <w:rsid w:val="00864F8B"/>
    <w:rsid w:val="00867813"/>
    <w:rsid w:val="00867EFA"/>
    <w:rsid w:val="00867FEE"/>
    <w:rsid w:val="00871369"/>
    <w:rsid w:val="0087559B"/>
    <w:rsid w:val="00880665"/>
    <w:rsid w:val="00881566"/>
    <w:rsid w:val="00881873"/>
    <w:rsid w:val="008818E8"/>
    <w:rsid w:val="00881E11"/>
    <w:rsid w:val="0088254C"/>
    <w:rsid w:val="00885D6C"/>
    <w:rsid w:val="008900EF"/>
    <w:rsid w:val="008922E8"/>
    <w:rsid w:val="00892DF1"/>
    <w:rsid w:val="00893FB9"/>
    <w:rsid w:val="008A1B2E"/>
    <w:rsid w:val="008A29AE"/>
    <w:rsid w:val="008A29C5"/>
    <w:rsid w:val="008A41BE"/>
    <w:rsid w:val="008A4492"/>
    <w:rsid w:val="008A5704"/>
    <w:rsid w:val="008A58A2"/>
    <w:rsid w:val="008B1AAA"/>
    <w:rsid w:val="008B3100"/>
    <w:rsid w:val="008B3BE0"/>
    <w:rsid w:val="008B3D8E"/>
    <w:rsid w:val="008B5319"/>
    <w:rsid w:val="008B5FEE"/>
    <w:rsid w:val="008B6C9C"/>
    <w:rsid w:val="008B7D3E"/>
    <w:rsid w:val="008C1288"/>
    <w:rsid w:val="008C1583"/>
    <w:rsid w:val="008C1F9B"/>
    <w:rsid w:val="008C24FB"/>
    <w:rsid w:val="008C4C73"/>
    <w:rsid w:val="008C508E"/>
    <w:rsid w:val="008C5330"/>
    <w:rsid w:val="008C572F"/>
    <w:rsid w:val="008C5DBB"/>
    <w:rsid w:val="008C5EF1"/>
    <w:rsid w:val="008D1820"/>
    <w:rsid w:val="008D2F4F"/>
    <w:rsid w:val="008D4D54"/>
    <w:rsid w:val="008D695A"/>
    <w:rsid w:val="008E0871"/>
    <w:rsid w:val="008E3145"/>
    <w:rsid w:val="008E4261"/>
    <w:rsid w:val="008E7AB6"/>
    <w:rsid w:val="008F2268"/>
    <w:rsid w:val="008F67E2"/>
    <w:rsid w:val="00901E52"/>
    <w:rsid w:val="00907B1E"/>
    <w:rsid w:val="00910397"/>
    <w:rsid w:val="0091131C"/>
    <w:rsid w:val="00912A63"/>
    <w:rsid w:val="009152B2"/>
    <w:rsid w:val="00924004"/>
    <w:rsid w:val="0092511A"/>
    <w:rsid w:val="00926CB0"/>
    <w:rsid w:val="009329AA"/>
    <w:rsid w:val="009333D7"/>
    <w:rsid w:val="009339E1"/>
    <w:rsid w:val="0093756C"/>
    <w:rsid w:val="00940946"/>
    <w:rsid w:val="00941985"/>
    <w:rsid w:val="00941EAA"/>
    <w:rsid w:val="00942BD9"/>
    <w:rsid w:val="00946CDC"/>
    <w:rsid w:val="00947C99"/>
    <w:rsid w:val="009517DC"/>
    <w:rsid w:val="00953F23"/>
    <w:rsid w:val="00960F8B"/>
    <w:rsid w:val="00962210"/>
    <w:rsid w:val="00962FD3"/>
    <w:rsid w:val="00963D59"/>
    <w:rsid w:val="0096434B"/>
    <w:rsid w:val="0096437E"/>
    <w:rsid w:val="009665CE"/>
    <w:rsid w:val="00971386"/>
    <w:rsid w:val="00973C88"/>
    <w:rsid w:val="00975C2A"/>
    <w:rsid w:val="009760DD"/>
    <w:rsid w:val="00976E98"/>
    <w:rsid w:val="00977587"/>
    <w:rsid w:val="00981741"/>
    <w:rsid w:val="00986650"/>
    <w:rsid w:val="009879D0"/>
    <w:rsid w:val="00990136"/>
    <w:rsid w:val="00995228"/>
    <w:rsid w:val="00995970"/>
    <w:rsid w:val="00995DBF"/>
    <w:rsid w:val="00996292"/>
    <w:rsid w:val="009A0325"/>
    <w:rsid w:val="009A39C0"/>
    <w:rsid w:val="009A6E3A"/>
    <w:rsid w:val="009B27AC"/>
    <w:rsid w:val="009B3B77"/>
    <w:rsid w:val="009B4B5E"/>
    <w:rsid w:val="009B5DA4"/>
    <w:rsid w:val="009B5FE1"/>
    <w:rsid w:val="009B6C84"/>
    <w:rsid w:val="009B7C2B"/>
    <w:rsid w:val="009C4359"/>
    <w:rsid w:val="009C4937"/>
    <w:rsid w:val="009D33F2"/>
    <w:rsid w:val="009D544E"/>
    <w:rsid w:val="009D63B9"/>
    <w:rsid w:val="009E4453"/>
    <w:rsid w:val="009F175E"/>
    <w:rsid w:val="009F184F"/>
    <w:rsid w:val="00A005E9"/>
    <w:rsid w:val="00A02555"/>
    <w:rsid w:val="00A06031"/>
    <w:rsid w:val="00A10F52"/>
    <w:rsid w:val="00A171BF"/>
    <w:rsid w:val="00A20AF4"/>
    <w:rsid w:val="00A22B5D"/>
    <w:rsid w:val="00A25EE0"/>
    <w:rsid w:val="00A276B4"/>
    <w:rsid w:val="00A31B04"/>
    <w:rsid w:val="00A32658"/>
    <w:rsid w:val="00A3282D"/>
    <w:rsid w:val="00A33F00"/>
    <w:rsid w:val="00A33FE7"/>
    <w:rsid w:val="00A34026"/>
    <w:rsid w:val="00A355A2"/>
    <w:rsid w:val="00A35A8B"/>
    <w:rsid w:val="00A403A3"/>
    <w:rsid w:val="00A444DD"/>
    <w:rsid w:val="00A47957"/>
    <w:rsid w:val="00A524CE"/>
    <w:rsid w:val="00A54CFD"/>
    <w:rsid w:val="00A60D7C"/>
    <w:rsid w:val="00A64D14"/>
    <w:rsid w:val="00A7005D"/>
    <w:rsid w:val="00A73E15"/>
    <w:rsid w:val="00A77D99"/>
    <w:rsid w:val="00A80141"/>
    <w:rsid w:val="00A80193"/>
    <w:rsid w:val="00A80D61"/>
    <w:rsid w:val="00A8296A"/>
    <w:rsid w:val="00A85456"/>
    <w:rsid w:val="00A87FBB"/>
    <w:rsid w:val="00A91281"/>
    <w:rsid w:val="00A94C0D"/>
    <w:rsid w:val="00A950E2"/>
    <w:rsid w:val="00A95F5C"/>
    <w:rsid w:val="00A97FF7"/>
    <w:rsid w:val="00AA1EE4"/>
    <w:rsid w:val="00AA2EDD"/>
    <w:rsid w:val="00AA34A3"/>
    <w:rsid w:val="00AA4D79"/>
    <w:rsid w:val="00AA5D70"/>
    <w:rsid w:val="00AB13CE"/>
    <w:rsid w:val="00AB1D08"/>
    <w:rsid w:val="00AB318F"/>
    <w:rsid w:val="00AB6198"/>
    <w:rsid w:val="00AB651C"/>
    <w:rsid w:val="00AB71B9"/>
    <w:rsid w:val="00AC3EC3"/>
    <w:rsid w:val="00AC45AB"/>
    <w:rsid w:val="00AC6038"/>
    <w:rsid w:val="00AC66B8"/>
    <w:rsid w:val="00AD0983"/>
    <w:rsid w:val="00AD32AA"/>
    <w:rsid w:val="00AD3D06"/>
    <w:rsid w:val="00AD44EE"/>
    <w:rsid w:val="00AD7351"/>
    <w:rsid w:val="00AD73BF"/>
    <w:rsid w:val="00AD79C5"/>
    <w:rsid w:val="00AE08E0"/>
    <w:rsid w:val="00AE139C"/>
    <w:rsid w:val="00AE2CCE"/>
    <w:rsid w:val="00AE5286"/>
    <w:rsid w:val="00AE5785"/>
    <w:rsid w:val="00AE7AEC"/>
    <w:rsid w:val="00AF0783"/>
    <w:rsid w:val="00AF2220"/>
    <w:rsid w:val="00AF26D3"/>
    <w:rsid w:val="00AF4609"/>
    <w:rsid w:val="00B10B60"/>
    <w:rsid w:val="00B12D69"/>
    <w:rsid w:val="00B13D8D"/>
    <w:rsid w:val="00B148AD"/>
    <w:rsid w:val="00B15E03"/>
    <w:rsid w:val="00B16A7C"/>
    <w:rsid w:val="00B20C77"/>
    <w:rsid w:val="00B211D7"/>
    <w:rsid w:val="00B2241F"/>
    <w:rsid w:val="00B2299C"/>
    <w:rsid w:val="00B22CB8"/>
    <w:rsid w:val="00B23253"/>
    <w:rsid w:val="00B256F6"/>
    <w:rsid w:val="00B30DBB"/>
    <w:rsid w:val="00B317D5"/>
    <w:rsid w:val="00B32E9D"/>
    <w:rsid w:val="00B33394"/>
    <w:rsid w:val="00B3399B"/>
    <w:rsid w:val="00B35253"/>
    <w:rsid w:val="00B35434"/>
    <w:rsid w:val="00B37A8F"/>
    <w:rsid w:val="00B407C7"/>
    <w:rsid w:val="00B42B71"/>
    <w:rsid w:val="00B46083"/>
    <w:rsid w:val="00B4629C"/>
    <w:rsid w:val="00B50538"/>
    <w:rsid w:val="00B5211C"/>
    <w:rsid w:val="00B529D3"/>
    <w:rsid w:val="00B52C10"/>
    <w:rsid w:val="00B55CCF"/>
    <w:rsid w:val="00B55F71"/>
    <w:rsid w:val="00B61118"/>
    <w:rsid w:val="00B64391"/>
    <w:rsid w:val="00B713BE"/>
    <w:rsid w:val="00B777CC"/>
    <w:rsid w:val="00B800D8"/>
    <w:rsid w:val="00B810B9"/>
    <w:rsid w:val="00B84133"/>
    <w:rsid w:val="00B87089"/>
    <w:rsid w:val="00B87174"/>
    <w:rsid w:val="00B87479"/>
    <w:rsid w:val="00B87C54"/>
    <w:rsid w:val="00B90699"/>
    <w:rsid w:val="00BA1528"/>
    <w:rsid w:val="00BA6435"/>
    <w:rsid w:val="00BA75EA"/>
    <w:rsid w:val="00BB0557"/>
    <w:rsid w:val="00BB28A3"/>
    <w:rsid w:val="00BB2A37"/>
    <w:rsid w:val="00BB4C3D"/>
    <w:rsid w:val="00BB73EF"/>
    <w:rsid w:val="00BC0E0A"/>
    <w:rsid w:val="00BC3681"/>
    <w:rsid w:val="00BC3F11"/>
    <w:rsid w:val="00BC40E9"/>
    <w:rsid w:val="00BC4746"/>
    <w:rsid w:val="00BC49E0"/>
    <w:rsid w:val="00BC5DCF"/>
    <w:rsid w:val="00BC612E"/>
    <w:rsid w:val="00BC710B"/>
    <w:rsid w:val="00BD05B1"/>
    <w:rsid w:val="00BD117E"/>
    <w:rsid w:val="00BD27E3"/>
    <w:rsid w:val="00BD2CD0"/>
    <w:rsid w:val="00BD5C1D"/>
    <w:rsid w:val="00BD5F47"/>
    <w:rsid w:val="00BD6994"/>
    <w:rsid w:val="00BE0581"/>
    <w:rsid w:val="00BE06BD"/>
    <w:rsid w:val="00BE1A5E"/>
    <w:rsid w:val="00BE2279"/>
    <w:rsid w:val="00BE3B52"/>
    <w:rsid w:val="00BE41F4"/>
    <w:rsid w:val="00BE5428"/>
    <w:rsid w:val="00BE5797"/>
    <w:rsid w:val="00BE671C"/>
    <w:rsid w:val="00BE6867"/>
    <w:rsid w:val="00BE6C8F"/>
    <w:rsid w:val="00BF01AA"/>
    <w:rsid w:val="00BF38AF"/>
    <w:rsid w:val="00BF3EB6"/>
    <w:rsid w:val="00BF7789"/>
    <w:rsid w:val="00C004B3"/>
    <w:rsid w:val="00C00701"/>
    <w:rsid w:val="00C0160F"/>
    <w:rsid w:val="00C022FD"/>
    <w:rsid w:val="00C02757"/>
    <w:rsid w:val="00C03531"/>
    <w:rsid w:val="00C103E0"/>
    <w:rsid w:val="00C11377"/>
    <w:rsid w:val="00C1309A"/>
    <w:rsid w:val="00C13979"/>
    <w:rsid w:val="00C1509C"/>
    <w:rsid w:val="00C158D7"/>
    <w:rsid w:val="00C169AB"/>
    <w:rsid w:val="00C2178D"/>
    <w:rsid w:val="00C22123"/>
    <w:rsid w:val="00C2307B"/>
    <w:rsid w:val="00C248FC"/>
    <w:rsid w:val="00C26289"/>
    <w:rsid w:val="00C267C1"/>
    <w:rsid w:val="00C3095E"/>
    <w:rsid w:val="00C3444D"/>
    <w:rsid w:val="00C40E2A"/>
    <w:rsid w:val="00C41D05"/>
    <w:rsid w:val="00C43237"/>
    <w:rsid w:val="00C437ED"/>
    <w:rsid w:val="00C4394A"/>
    <w:rsid w:val="00C43DB7"/>
    <w:rsid w:val="00C44F38"/>
    <w:rsid w:val="00C454FB"/>
    <w:rsid w:val="00C4633F"/>
    <w:rsid w:val="00C47476"/>
    <w:rsid w:val="00C543C3"/>
    <w:rsid w:val="00C5467B"/>
    <w:rsid w:val="00C54EEC"/>
    <w:rsid w:val="00C56048"/>
    <w:rsid w:val="00C56D9D"/>
    <w:rsid w:val="00C603B8"/>
    <w:rsid w:val="00C621B0"/>
    <w:rsid w:val="00C63AAD"/>
    <w:rsid w:val="00C65916"/>
    <w:rsid w:val="00C67233"/>
    <w:rsid w:val="00C755FC"/>
    <w:rsid w:val="00C76F83"/>
    <w:rsid w:val="00C84E31"/>
    <w:rsid w:val="00C9157F"/>
    <w:rsid w:val="00C92380"/>
    <w:rsid w:val="00C932D0"/>
    <w:rsid w:val="00C936E3"/>
    <w:rsid w:val="00C93795"/>
    <w:rsid w:val="00C9701A"/>
    <w:rsid w:val="00C97B18"/>
    <w:rsid w:val="00CA2491"/>
    <w:rsid w:val="00CA2DB8"/>
    <w:rsid w:val="00CA4626"/>
    <w:rsid w:val="00CA4D8D"/>
    <w:rsid w:val="00CA5F36"/>
    <w:rsid w:val="00CA6032"/>
    <w:rsid w:val="00CB16C6"/>
    <w:rsid w:val="00CC218B"/>
    <w:rsid w:val="00CC3EC5"/>
    <w:rsid w:val="00CC4B9D"/>
    <w:rsid w:val="00CC7C88"/>
    <w:rsid w:val="00CD0D5B"/>
    <w:rsid w:val="00CD3209"/>
    <w:rsid w:val="00CD4272"/>
    <w:rsid w:val="00CD468E"/>
    <w:rsid w:val="00CD4F74"/>
    <w:rsid w:val="00CE07CE"/>
    <w:rsid w:val="00CE0A24"/>
    <w:rsid w:val="00CE2B74"/>
    <w:rsid w:val="00CE45DC"/>
    <w:rsid w:val="00CE46DB"/>
    <w:rsid w:val="00CF2439"/>
    <w:rsid w:val="00CF2A9B"/>
    <w:rsid w:val="00D024F1"/>
    <w:rsid w:val="00D02AB0"/>
    <w:rsid w:val="00D05584"/>
    <w:rsid w:val="00D05FFF"/>
    <w:rsid w:val="00D06AA6"/>
    <w:rsid w:val="00D0772F"/>
    <w:rsid w:val="00D108E4"/>
    <w:rsid w:val="00D127F5"/>
    <w:rsid w:val="00D1334F"/>
    <w:rsid w:val="00D15A98"/>
    <w:rsid w:val="00D166F4"/>
    <w:rsid w:val="00D17225"/>
    <w:rsid w:val="00D17FA6"/>
    <w:rsid w:val="00D20BDE"/>
    <w:rsid w:val="00D2115F"/>
    <w:rsid w:val="00D21712"/>
    <w:rsid w:val="00D21D45"/>
    <w:rsid w:val="00D226DB"/>
    <w:rsid w:val="00D25CCA"/>
    <w:rsid w:val="00D30857"/>
    <w:rsid w:val="00D309E4"/>
    <w:rsid w:val="00D30D02"/>
    <w:rsid w:val="00D31FC2"/>
    <w:rsid w:val="00D330D7"/>
    <w:rsid w:val="00D33BB7"/>
    <w:rsid w:val="00D34C2B"/>
    <w:rsid w:val="00D35A1A"/>
    <w:rsid w:val="00D35D0B"/>
    <w:rsid w:val="00D366FE"/>
    <w:rsid w:val="00D374CB"/>
    <w:rsid w:val="00D40033"/>
    <w:rsid w:val="00D4037B"/>
    <w:rsid w:val="00D455EA"/>
    <w:rsid w:val="00D47CAF"/>
    <w:rsid w:val="00D501AD"/>
    <w:rsid w:val="00D52C03"/>
    <w:rsid w:val="00D52C8A"/>
    <w:rsid w:val="00D530B2"/>
    <w:rsid w:val="00D544FC"/>
    <w:rsid w:val="00D573E6"/>
    <w:rsid w:val="00D63DB7"/>
    <w:rsid w:val="00D646AF"/>
    <w:rsid w:val="00D64E36"/>
    <w:rsid w:val="00D73193"/>
    <w:rsid w:val="00D770EF"/>
    <w:rsid w:val="00D775C6"/>
    <w:rsid w:val="00D80293"/>
    <w:rsid w:val="00D82434"/>
    <w:rsid w:val="00D84BA7"/>
    <w:rsid w:val="00D85EC5"/>
    <w:rsid w:val="00D862B4"/>
    <w:rsid w:val="00D90497"/>
    <w:rsid w:val="00D90ED2"/>
    <w:rsid w:val="00D91DC7"/>
    <w:rsid w:val="00D96DA5"/>
    <w:rsid w:val="00DA219D"/>
    <w:rsid w:val="00DA3476"/>
    <w:rsid w:val="00DA6D36"/>
    <w:rsid w:val="00DA71DE"/>
    <w:rsid w:val="00DB2814"/>
    <w:rsid w:val="00DC13E6"/>
    <w:rsid w:val="00DC48A7"/>
    <w:rsid w:val="00DC5E70"/>
    <w:rsid w:val="00DC6971"/>
    <w:rsid w:val="00DD1285"/>
    <w:rsid w:val="00DD3B37"/>
    <w:rsid w:val="00DD560E"/>
    <w:rsid w:val="00DE1B1A"/>
    <w:rsid w:val="00DF01B6"/>
    <w:rsid w:val="00DF10A3"/>
    <w:rsid w:val="00DF13EE"/>
    <w:rsid w:val="00DF4608"/>
    <w:rsid w:val="00DF50E4"/>
    <w:rsid w:val="00DF64B9"/>
    <w:rsid w:val="00DF6BAA"/>
    <w:rsid w:val="00E0119A"/>
    <w:rsid w:val="00E015D0"/>
    <w:rsid w:val="00E022FD"/>
    <w:rsid w:val="00E03C25"/>
    <w:rsid w:val="00E04994"/>
    <w:rsid w:val="00E05919"/>
    <w:rsid w:val="00E07495"/>
    <w:rsid w:val="00E10DDA"/>
    <w:rsid w:val="00E121A0"/>
    <w:rsid w:val="00E1230A"/>
    <w:rsid w:val="00E131DF"/>
    <w:rsid w:val="00E16C40"/>
    <w:rsid w:val="00E175C1"/>
    <w:rsid w:val="00E2035D"/>
    <w:rsid w:val="00E20363"/>
    <w:rsid w:val="00E24CF1"/>
    <w:rsid w:val="00E256E2"/>
    <w:rsid w:val="00E27F27"/>
    <w:rsid w:val="00E30941"/>
    <w:rsid w:val="00E36173"/>
    <w:rsid w:val="00E36C1D"/>
    <w:rsid w:val="00E36E8B"/>
    <w:rsid w:val="00E41C12"/>
    <w:rsid w:val="00E42BE3"/>
    <w:rsid w:val="00E42C58"/>
    <w:rsid w:val="00E4590E"/>
    <w:rsid w:val="00E477A2"/>
    <w:rsid w:val="00E51908"/>
    <w:rsid w:val="00E53CA1"/>
    <w:rsid w:val="00E554E6"/>
    <w:rsid w:val="00E576B2"/>
    <w:rsid w:val="00E61065"/>
    <w:rsid w:val="00E658FB"/>
    <w:rsid w:val="00E710D0"/>
    <w:rsid w:val="00E735B8"/>
    <w:rsid w:val="00E744FA"/>
    <w:rsid w:val="00E7514B"/>
    <w:rsid w:val="00E768B4"/>
    <w:rsid w:val="00E8299B"/>
    <w:rsid w:val="00E833CA"/>
    <w:rsid w:val="00E83B3B"/>
    <w:rsid w:val="00E84DE5"/>
    <w:rsid w:val="00E85747"/>
    <w:rsid w:val="00E957DD"/>
    <w:rsid w:val="00E9583D"/>
    <w:rsid w:val="00E95D65"/>
    <w:rsid w:val="00E96AAF"/>
    <w:rsid w:val="00E97872"/>
    <w:rsid w:val="00EA1F8A"/>
    <w:rsid w:val="00EA27D0"/>
    <w:rsid w:val="00EA3BEF"/>
    <w:rsid w:val="00EA4ACB"/>
    <w:rsid w:val="00EA4BC2"/>
    <w:rsid w:val="00EA4D6A"/>
    <w:rsid w:val="00EA4F5A"/>
    <w:rsid w:val="00EB20F3"/>
    <w:rsid w:val="00EB60FC"/>
    <w:rsid w:val="00EB67B9"/>
    <w:rsid w:val="00EB7230"/>
    <w:rsid w:val="00EB7272"/>
    <w:rsid w:val="00EB74A8"/>
    <w:rsid w:val="00EB7DAA"/>
    <w:rsid w:val="00EC0E5A"/>
    <w:rsid w:val="00EC107A"/>
    <w:rsid w:val="00EC3525"/>
    <w:rsid w:val="00EC4638"/>
    <w:rsid w:val="00EC5760"/>
    <w:rsid w:val="00EC6670"/>
    <w:rsid w:val="00EC7821"/>
    <w:rsid w:val="00EC7DE1"/>
    <w:rsid w:val="00ED0481"/>
    <w:rsid w:val="00ED11B6"/>
    <w:rsid w:val="00ED1D40"/>
    <w:rsid w:val="00ED21CE"/>
    <w:rsid w:val="00ED3A3D"/>
    <w:rsid w:val="00ED5951"/>
    <w:rsid w:val="00ED71A9"/>
    <w:rsid w:val="00ED7760"/>
    <w:rsid w:val="00ED7E91"/>
    <w:rsid w:val="00EE0D39"/>
    <w:rsid w:val="00EE118C"/>
    <w:rsid w:val="00EE1D86"/>
    <w:rsid w:val="00EE54AC"/>
    <w:rsid w:val="00EF3CCB"/>
    <w:rsid w:val="00EF4F6E"/>
    <w:rsid w:val="00EF5855"/>
    <w:rsid w:val="00EF6C23"/>
    <w:rsid w:val="00F028B7"/>
    <w:rsid w:val="00F03B72"/>
    <w:rsid w:val="00F0404D"/>
    <w:rsid w:val="00F055B3"/>
    <w:rsid w:val="00F06850"/>
    <w:rsid w:val="00F06DA9"/>
    <w:rsid w:val="00F072D6"/>
    <w:rsid w:val="00F077E1"/>
    <w:rsid w:val="00F07A4B"/>
    <w:rsid w:val="00F10ABD"/>
    <w:rsid w:val="00F12CF3"/>
    <w:rsid w:val="00F13EFC"/>
    <w:rsid w:val="00F147D4"/>
    <w:rsid w:val="00F14963"/>
    <w:rsid w:val="00F15359"/>
    <w:rsid w:val="00F16EA0"/>
    <w:rsid w:val="00F17624"/>
    <w:rsid w:val="00F207F2"/>
    <w:rsid w:val="00F20D7B"/>
    <w:rsid w:val="00F20F0B"/>
    <w:rsid w:val="00F2158F"/>
    <w:rsid w:val="00F217D1"/>
    <w:rsid w:val="00F23CAB"/>
    <w:rsid w:val="00F322A4"/>
    <w:rsid w:val="00F372C4"/>
    <w:rsid w:val="00F41535"/>
    <w:rsid w:val="00F47357"/>
    <w:rsid w:val="00F520A1"/>
    <w:rsid w:val="00F551D7"/>
    <w:rsid w:val="00F55B5D"/>
    <w:rsid w:val="00F55C45"/>
    <w:rsid w:val="00F61F22"/>
    <w:rsid w:val="00F657F7"/>
    <w:rsid w:val="00F7026F"/>
    <w:rsid w:val="00F733EF"/>
    <w:rsid w:val="00F73ABD"/>
    <w:rsid w:val="00F73F2D"/>
    <w:rsid w:val="00F812D6"/>
    <w:rsid w:val="00F832D5"/>
    <w:rsid w:val="00F83B48"/>
    <w:rsid w:val="00F85D06"/>
    <w:rsid w:val="00F90146"/>
    <w:rsid w:val="00F90EB7"/>
    <w:rsid w:val="00F91D55"/>
    <w:rsid w:val="00F920E4"/>
    <w:rsid w:val="00F9342C"/>
    <w:rsid w:val="00F93EC4"/>
    <w:rsid w:val="00F9678C"/>
    <w:rsid w:val="00F976EE"/>
    <w:rsid w:val="00F97B57"/>
    <w:rsid w:val="00FA1D85"/>
    <w:rsid w:val="00FA36EC"/>
    <w:rsid w:val="00FA4534"/>
    <w:rsid w:val="00FA4543"/>
    <w:rsid w:val="00FA4881"/>
    <w:rsid w:val="00FA5D68"/>
    <w:rsid w:val="00FA5F7C"/>
    <w:rsid w:val="00FA690E"/>
    <w:rsid w:val="00FB0229"/>
    <w:rsid w:val="00FB0791"/>
    <w:rsid w:val="00FB50EF"/>
    <w:rsid w:val="00FC05FD"/>
    <w:rsid w:val="00FC0D7D"/>
    <w:rsid w:val="00FC50D0"/>
    <w:rsid w:val="00FC53A6"/>
    <w:rsid w:val="00FC67BB"/>
    <w:rsid w:val="00FD066C"/>
    <w:rsid w:val="00FD4530"/>
    <w:rsid w:val="00FD609D"/>
    <w:rsid w:val="00FD7DCD"/>
    <w:rsid w:val="00FD7FBF"/>
    <w:rsid w:val="00FE1CC4"/>
    <w:rsid w:val="00FE277C"/>
    <w:rsid w:val="00FE2F09"/>
    <w:rsid w:val="00FE4B0F"/>
    <w:rsid w:val="00FE4C38"/>
    <w:rsid w:val="00FE7A7C"/>
    <w:rsid w:val="00FF0087"/>
    <w:rsid w:val="00FF25A4"/>
    <w:rsid w:val="00FF4F94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612FC4"/>
  <w15:docId w15:val="{4CA8011A-E6CD-48D3-975E-8A8C1372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AD2"/>
    <w:pPr>
      <w:spacing w:after="160" w:line="259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D85EC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E72A1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E72A1"/>
    <w:pPr>
      <w:keepNext/>
      <w:spacing w:after="0" w:line="240" w:lineRule="auto"/>
      <w:ind w:firstLine="540"/>
      <w:outlineLvl w:val="2"/>
    </w:pPr>
    <w:rPr>
      <w:rFonts w:ascii="Times New Roman" w:eastAsia="Times New Roman" w:hAnsi="Times New Roman" w:cs="Mangal"/>
      <w:sz w:val="28"/>
      <w:szCs w:val="28"/>
      <w:lang w:eastAsia="ru-RU" w:bidi="hi-IN"/>
    </w:rPr>
  </w:style>
  <w:style w:type="paragraph" w:styleId="9">
    <w:name w:val="heading 9"/>
    <w:basedOn w:val="a"/>
    <w:next w:val="a"/>
    <w:link w:val="90"/>
    <w:uiPriority w:val="99"/>
    <w:qFormat/>
    <w:rsid w:val="001E72A1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5EC5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E72A1"/>
    <w:rPr>
      <w:rFonts w:ascii="Calibri Light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1E72A1"/>
    <w:rPr>
      <w:rFonts w:ascii="Times New Roman" w:hAnsi="Times New Roman" w:cs="Mangal"/>
      <w:sz w:val="28"/>
      <w:szCs w:val="28"/>
      <w:lang w:eastAsia="ru-RU" w:bidi="hi-IN"/>
    </w:rPr>
  </w:style>
  <w:style w:type="character" w:customStyle="1" w:styleId="90">
    <w:name w:val="Заголовок 9 Знак"/>
    <w:basedOn w:val="a0"/>
    <w:link w:val="9"/>
    <w:uiPriority w:val="99"/>
    <w:locked/>
    <w:rsid w:val="001E72A1"/>
    <w:rPr>
      <w:rFonts w:ascii="Arial" w:hAnsi="Arial" w:cs="Arial"/>
      <w:lang w:val="ru-RU" w:eastAsia="ru-RU" w:bidi="hi-IN"/>
    </w:rPr>
  </w:style>
  <w:style w:type="paragraph" w:styleId="HTML">
    <w:name w:val="HTML Preformatted"/>
    <w:basedOn w:val="a"/>
    <w:link w:val="HTML0"/>
    <w:uiPriority w:val="99"/>
    <w:semiHidden/>
    <w:rsid w:val="0035082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50823"/>
    <w:rPr>
      <w:rFonts w:ascii="Consolas" w:hAnsi="Consolas" w:cs="Consolas"/>
      <w:sz w:val="20"/>
      <w:szCs w:val="20"/>
    </w:rPr>
  </w:style>
  <w:style w:type="paragraph" w:styleId="21">
    <w:name w:val="Body Text 2"/>
    <w:basedOn w:val="a"/>
    <w:link w:val="22"/>
    <w:uiPriority w:val="99"/>
    <w:rsid w:val="001E72A1"/>
    <w:pPr>
      <w:spacing w:after="0" w:line="240" w:lineRule="auto"/>
      <w:ind w:firstLine="540"/>
    </w:pPr>
    <w:rPr>
      <w:rFonts w:ascii="Times New Roman" w:eastAsia="Times New Roman" w:hAnsi="Times New Roman" w:cs="Mangal"/>
      <w:sz w:val="28"/>
      <w:szCs w:val="28"/>
      <w:lang w:eastAsia="ru-RU" w:bidi="hi-IN"/>
    </w:rPr>
  </w:style>
  <w:style w:type="character" w:customStyle="1" w:styleId="22">
    <w:name w:val="Основний текст 2 Знак"/>
    <w:basedOn w:val="a0"/>
    <w:link w:val="21"/>
    <w:uiPriority w:val="99"/>
    <w:locked/>
    <w:rsid w:val="001E72A1"/>
    <w:rPr>
      <w:rFonts w:ascii="Times New Roman" w:hAnsi="Times New Roman" w:cs="Mangal"/>
      <w:sz w:val="28"/>
      <w:szCs w:val="28"/>
      <w:lang w:eastAsia="ru-RU" w:bidi="hi-IN"/>
    </w:rPr>
  </w:style>
  <w:style w:type="paragraph" w:styleId="23">
    <w:name w:val="Body Text Indent 2"/>
    <w:basedOn w:val="a"/>
    <w:link w:val="24"/>
    <w:uiPriority w:val="99"/>
    <w:rsid w:val="001E72A1"/>
    <w:pPr>
      <w:spacing w:after="0" w:line="240" w:lineRule="auto"/>
      <w:ind w:firstLine="540"/>
      <w:jc w:val="both"/>
    </w:pPr>
    <w:rPr>
      <w:rFonts w:ascii="Times New Roman" w:eastAsia="Times New Roman" w:hAnsi="Times New Roman" w:cs="Mangal"/>
      <w:sz w:val="28"/>
      <w:szCs w:val="28"/>
      <w:lang w:eastAsia="ru-RU" w:bidi="hi-IN"/>
    </w:rPr>
  </w:style>
  <w:style w:type="character" w:customStyle="1" w:styleId="24">
    <w:name w:val="Основний текст з відступом 2 Знак"/>
    <w:basedOn w:val="a0"/>
    <w:link w:val="23"/>
    <w:uiPriority w:val="99"/>
    <w:locked/>
    <w:rsid w:val="001E72A1"/>
    <w:rPr>
      <w:rFonts w:ascii="Times New Roman" w:hAnsi="Times New Roman" w:cs="Mangal"/>
      <w:sz w:val="28"/>
      <w:szCs w:val="28"/>
      <w:lang w:eastAsia="ru-RU" w:bidi="hi-IN"/>
    </w:rPr>
  </w:style>
  <w:style w:type="paragraph" w:styleId="31">
    <w:name w:val="Body Text Indent 3"/>
    <w:basedOn w:val="a"/>
    <w:link w:val="32"/>
    <w:uiPriority w:val="99"/>
    <w:rsid w:val="001E72A1"/>
    <w:pPr>
      <w:spacing w:after="0" w:line="240" w:lineRule="auto"/>
      <w:ind w:firstLine="540"/>
      <w:jc w:val="both"/>
    </w:pPr>
    <w:rPr>
      <w:rFonts w:ascii="Times New Roman" w:eastAsia="Times New Roman" w:hAnsi="Times New Roman" w:cs="Mangal"/>
      <w:sz w:val="24"/>
      <w:szCs w:val="24"/>
      <w:lang w:val="ru-RU" w:eastAsia="ru-RU" w:bidi="hi-IN"/>
    </w:rPr>
  </w:style>
  <w:style w:type="character" w:customStyle="1" w:styleId="32">
    <w:name w:val="Основний текст з відступом 3 Знак"/>
    <w:basedOn w:val="a0"/>
    <w:link w:val="31"/>
    <w:uiPriority w:val="99"/>
    <w:locked/>
    <w:rsid w:val="001E72A1"/>
    <w:rPr>
      <w:rFonts w:ascii="Times New Roman" w:hAnsi="Times New Roman" w:cs="Mangal"/>
      <w:sz w:val="24"/>
      <w:szCs w:val="24"/>
      <w:lang w:val="ru-RU" w:eastAsia="ru-RU" w:bidi="hi-IN"/>
    </w:rPr>
  </w:style>
  <w:style w:type="table" w:styleId="a3">
    <w:name w:val="Table Grid"/>
    <w:basedOn w:val="a1"/>
    <w:uiPriority w:val="99"/>
    <w:rsid w:val="001E72A1"/>
    <w:rPr>
      <w:rFonts w:ascii="Times New Roman" w:eastAsia="Times New Roman" w:hAnsi="Times New Roman" w:cs="Mangal"/>
      <w:sz w:val="20"/>
      <w:szCs w:val="20"/>
      <w:lang w:eastAsia="uk-UA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E72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ru-RU" w:bidi="hi-IN"/>
    </w:rPr>
  </w:style>
  <w:style w:type="character" w:customStyle="1" w:styleId="a5">
    <w:name w:val="Нижній колонтитул Знак"/>
    <w:basedOn w:val="a0"/>
    <w:link w:val="a4"/>
    <w:uiPriority w:val="99"/>
    <w:locked/>
    <w:rsid w:val="001E72A1"/>
    <w:rPr>
      <w:rFonts w:ascii="Times New Roman" w:hAnsi="Times New Roman" w:cs="Mangal"/>
      <w:sz w:val="24"/>
      <w:szCs w:val="24"/>
      <w:lang w:val="ru-RU" w:eastAsia="ru-RU" w:bidi="hi-IN"/>
    </w:rPr>
  </w:style>
  <w:style w:type="paragraph" w:styleId="a6">
    <w:name w:val="caption"/>
    <w:basedOn w:val="a"/>
    <w:next w:val="a"/>
    <w:uiPriority w:val="99"/>
    <w:qFormat/>
    <w:rsid w:val="001E72A1"/>
    <w:pPr>
      <w:spacing w:after="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  <w:lang w:eastAsia="ru-RU" w:bidi="hi-IN"/>
    </w:rPr>
  </w:style>
  <w:style w:type="paragraph" w:styleId="a7">
    <w:name w:val="endnote text"/>
    <w:basedOn w:val="a"/>
    <w:link w:val="a8"/>
    <w:uiPriority w:val="99"/>
    <w:semiHidden/>
    <w:rsid w:val="001E72A1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ru-RU" w:eastAsia="ru-RU" w:bidi="hi-IN"/>
    </w:rPr>
  </w:style>
  <w:style w:type="character" w:customStyle="1" w:styleId="a8">
    <w:name w:val="Текст кінцевої виноски Знак"/>
    <w:basedOn w:val="a0"/>
    <w:link w:val="a7"/>
    <w:uiPriority w:val="99"/>
    <w:semiHidden/>
    <w:locked/>
    <w:rsid w:val="001E72A1"/>
    <w:rPr>
      <w:rFonts w:ascii="Times New Roman" w:hAnsi="Times New Roman" w:cs="Mangal"/>
      <w:sz w:val="20"/>
      <w:szCs w:val="20"/>
      <w:lang w:val="ru-RU" w:eastAsia="ru-RU" w:bidi="hi-IN"/>
    </w:rPr>
  </w:style>
  <w:style w:type="paragraph" w:customStyle="1" w:styleId="TableHead">
    <w:name w:val="Table Head"/>
    <w:autoRedefine/>
    <w:uiPriority w:val="99"/>
    <w:rsid w:val="001E72A1"/>
    <w:pPr>
      <w:keepNext/>
      <w:keepLines/>
      <w:spacing w:before="240" w:after="40"/>
      <w:jc w:val="center"/>
    </w:pPr>
    <w:rPr>
      <w:rFonts w:ascii="Arial" w:eastAsia="Times New Roman" w:hAnsi="Arial" w:cs="Arial"/>
      <w:b/>
      <w:bCs/>
      <w:noProof/>
      <w:sz w:val="20"/>
      <w:szCs w:val="20"/>
      <w:lang w:val="en-US" w:eastAsia="en-US" w:bidi="hi-IN"/>
    </w:rPr>
  </w:style>
  <w:style w:type="character" w:styleId="a9">
    <w:name w:val="page number"/>
    <w:basedOn w:val="a0"/>
    <w:uiPriority w:val="99"/>
    <w:rsid w:val="001E72A1"/>
    <w:rPr>
      <w:rFonts w:cs="Times New Roman"/>
    </w:rPr>
  </w:style>
  <w:style w:type="paragraph" w:styleId="aa">
    <w:name w:val="footnote text"/>
    <w:basedOn w:val="a"/>
    <w:link w:val="ab"/>
    <w:uiPriority w:val="99"/>
    <w:rsid w:val="001E72A1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en-US" w:bidi="hi-IN"/>
    </w:rPr>
  </w:style>
  <w:style w:type="character" w:customStyle="1" w:styleId="ab">
    <w:name w:val="Текст виноски Знак"/>
    <w:basedOn w:val="a0"/>
    <w:link w:val="aa"/>
    <w:uiPriority w:val="99"/>
    <w:locked/>
    <w:rsid w:val="001E72A1"/>
    <w:rPr>
      <w:rFonts w:ascii="Times New Roman" w:hAnsi="Times New Roman" w:cs="Mangal"/>
      <w:sz w:val="20"/>
      <w:szCs w:val="20"/>
      <w:lang w:val="en-US" w:bidi="hi-IN"/>
    </w:rPr>
  </w:style>
  <w:style w:type="character" w:styleId="ac">
    <w:name w:val="footnote reference"/>
    <w:basedOn w:val="a0"/>
    <w:uiPriority w:val="99"/>
    <w:semiHidden/>
    <w:rsid w:val="001E72A1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rsid w:val="001E72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ru-RU" w:bidi="hi-IN"/>
    </w:rPr>
  </w:style>
  <w:style w:type="character" w:customStyle="1" w:styleId="ae">
    <w:name w:val="Верхній колонтитул Знак"/>
    <w:basedOn w:val="a0"/>
    <w:link w:val="ad"/>
    <w:uiPriority w:val="99"/>
    <w:locked/>
    <w:rsid w:val="001E72A1"/>
    <w:rPr>
      <w:rFonts w:ascii="Times New Roman" w:hAnsi="Times New Roman" w:cs="Mangal"/>
      <w:sz w:val="24"/>
      <w:szCs w:val="24"/>
      <w:lang w:val="ru-RU" w:eastAsia="ru-RU" w:bidi="hi-IN"/>
    </w:rPr>
  </w:style>
  <w:style w:type="paragraph" w:styleId="af">
    <w:name w:val="Title"/>
    <w:basedOn w:val="a"/>
    <w:link w:val="af0"/>
    <w:uiPriority w:val="99"/>
    <w:qFormat/>
    <w:rsid w:val="001E72A1"/>
    <w:pPr>
      <w:spacing w:after="0" w:line="240" w:lineRule="auto"/>
      <w:jc w:val="center"/>
    </w:pPr>
    <w:rPr>
      <w:rFonts w:ascii="Times New Roman" w:eastAsia="Times New Roman" w:hAnsi="Times New Roman" w:cs="Mangal"/>
      <w:b/>
      <w:bCs/>
      <w:sz w:val="32"/>
      <w:szCs w:val="32"/>
      <w:u w:val="single"/>
      <w:lang w:eastAsia="ru-RU" w:bidi="hi-IN"/>
    </w:rPr>
  </w:style>
  <w:style w:type="character" w:customStyle="1" w:styleId="af0">
    <w:name w:val="Назва Знак"/>
    <w:basedOn w:val="a0"/>
    <w:link w:val="af"/>
    <w:uiPriority w:val="99"/>
    <w:locked/>
    <w:rsid w:val="001E72A1"/>
    <w:rPr>
      <w:rFonts w:ascii="Times New Roman" w:hAnsi="Times New Roman" w:cs="Mangal"/>
      <w:b/>
      <w:bCs/>
      <w:sz w:val="32"/>
      <w:szCs w:val="32"/>
      <w:u w:val="single"/>
      <w:lang w:eastAsia="ru-RU" w:bidi="hi-IN"/>
    </w:rPr>
  </w:style>
  <w:style w:type="character" w:styleId="af1">
    <w:name w:val="Hyperlink"/>
    <w:basedOn w:val="a0"/>
    <w:uiPriority w:val="99"/>
    <w:rsid w:val="001E72A1"/>
    <w:rPr>
      <w:rFonts w:cs="Times New Roman"/>
      <w:color w:val="0000FF"/>
      <w:u w:val="single"/>
    </w:rPr>
  </w:style>
  <w:style w:type="paragraph" w:customStyle="1" w:styleId="af2">
    <w:name w:val="Знак Знак Знак"/>
    <w:basedOn w:val="a"/>
    <w:uiPriority w:val="99"/>
    <w:rsid w:val="001E72A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Body Text"/>
    <w:basedOn w:val="a"/>
    <w:link w:val="af4"/>
    <w:uiPriority w:val="99"/>
    <w:rsid w:val="004F044B"/>
    <w:pPr>
      <w:spacing w:after="120"/>
    </w:pPr>
  </w:style>
  <w:style w:type="character" w:customStyle="1" w:styleId="af4">
    <w:name w:val="Основний текст Знак"/>
    <w:basedOn w:val="a0"/>
    <w:link w:val="af3"/>
    <w:uiPriority w:val="99"/>
    <w:locked/>
    <w:rsid w:val="004F044B"/>
    <w:rPr>
      <w:rFonts w:cs="Times New Roman"/>
    </w:rPr>
  </w:style>
  <w:style w:type="paragraph" w:styleId="af5">
    <w:name w:val="List Paragraph"/>
    <w:basedOn w:val="a"/>
    <w:uiPriority w:val="99"/>
    <w:qFormat/>
    <w:rsid w:val="00093900"/>
    <w:pPr>
      <w:ind w:left="720"/>
      <w:contextualSpacing/>
    </w:pPr>
  </w:style>
  <w:style w:type="character" w:customStyle="1" w:styleId="y2iqfc">
    <w:name w:val="y2iqfc"/>
    <w:basedOn w:val="a0"/>
    <w:uiPriority w:val="99"/>
    <w:rsid w:val="00596E26"/>
    <w:rPr>
      <w:rFonts w:cs="Times New Roman"/>
    </w:rPr>
  </w:style>
  <w:style w:type="paragraph" w:customStyle="1" w:styleId="af6">
    <w:name w:val="ОснТекст"/>
    <w:link w:val="af7"/>
    <w:uiPriority w:val="99"/>
    <w:rsid w:val="00C248FC"/>
    <w:pPr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f7">
    <w:name w:val="ОснТекст Знак"/>
    <w:basedOn w:val="a0"/>
    <w:link w:val="af6"/>
    <w:uiPriority w:val="99"/>
    <w:locked/>
    <w:rsid w:val="00C248FC"/>
    <w:rPr>
      <w:rFonts w:ascii="Times New Roman" w:hAnsi="Times New Roman" w:cs="Times New Roman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rsid w:val="00D22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locked/>
    <w:rsid w:val="00D226DB"/>
    <w:rPr>
      <w:rFonts w:ascii="Segoe UI" w:hAnsi="Segoe UI" w:cs="Segoe UI"/>
      <w:sz w:val="18"/>
      <w:szCs w:val="18"/>
    </w:rPr>
  </w:style>
  <w:style w:type="character" w:customStyle="1" w:styleId="11">
    <w:name w:val="Незакрита згадка1"/>
    <w:basedOn w:val="a0"/>
    <w:uiPriority w:val="99"/>
    <w:semiHidden/>
    <w:rsid w:val="00B148AD"/>
    <w:rPr>
      <w:rFonts w:cs="Times New Roman"/>
      <w:color w:val="605E5C"/>
      <w:shd w:val="clear" w:color="auto" w:fill="E1DFDD"/>
    </w:rPr>
  </w:style>
  <w:style w:type="paragraph" w:customStyle="1" w:styleId="BodyTextT">
    <w:name w:val="Body Text T"/>
    <w:basedOn w:val="a"/>
    <w:uiPriority w:val="99"/>
    <w:rsid w:val="00071329"/>
    <w:pPr>
      <w:spacing w:before="20" w:after="40" w:line="240" w:lineRule="auto"/>
    </w:pPr>
    <w:rPr>
      <w:rFonts w:eastAsia="Times New Roman"/>
      <w:bCs/>
      <w:sz w:val="20"/>
      <w:szCs w:val="24"/>
      <w:lang w:val="en-US"/>
    </w:rPr>
  </w:style>
  <w:style w:type="table" w:customStyle="1" w:styleId="-111">
    <w:name w:val="Таблиця-сітка 1 (світла) – акцент 11"/>
    <w:uiPriority w:val="99"/>
    <w:rsid w:val="00071329"/>
    <w:rPr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rPr>
        <w:cantSplit/>
        <w:tblHeader/>
      </w:trPr>
      <w:tcPr>
        <w:tcBorders>
          <w:bottom w:val="single" w:sz="12" w:space="0" w:color="9CC2E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51">
    <w:name w:val="Таблиця-сітка 1 (світла) – акцент 51"/>
    <w:uiPriority w:val="99"/>
    <w:rsid w:val="00071329"/>
    <w:rPr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rPr>
        <w:cantSplit/>
        <w:tblHeader/>
      </w:trPr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ListBulletT">
    <w:name w:val="List Bullet T"/>
    <w:basedOn w:val="a"/>
    <w:uiPriority w:val="99"/>
    <w:rsid w:val="00071329"/>
    <w:pPr>
      <w:numPr>
        <w:numId w:val="20"/>
      </w:numPr>
      <w:spacing w:line="240" w:lineRule="auto"/>
    </w:pPr>
    <w:rPr>
      <w:kern w:val="20"/>
      <w:sz w:val="20"/>
      <w:lang w:val="en-US"/>
    </w:rPr>
  </w:style>
  <w:style w:type="paragraph" w:customStyle="1" w:styleId="ListNumberT">
    <w:name w:val="List Number T"/>
    <w:basedOn w:val="a"/>
    <w:uiPriority w:val="99"/>
    <w:rsid w:val="00071329"/>
    <w:pPr>
      <w:numPr>
        <w:numId w:val="21"/>
      </w:numPr>
      <w:tabs>
        <w:tab w:val="left" w:pos="1260"/>
        <w:tab w:val="left" w:pos="1440"/>
      </w:tabs>
      <w:spacing w:before="20" w:line="240" w:lineRule="auto"/>
    </w:pPr>
    <w:rPr>
      <w:rFonts w:eastAsia="Times New Roman"/>
      <w:bCs/>
      <w:sz w:val="20"/>
      <w:szCs w:val="24"/>
      <w:lang w:val="en-US"/>
    </w:rPr>
  </w:style>
  <w:style w:type="table" w:customStyle="1" w:styleId="myTableBoxes">
    <w:name w:val="myTable_Boxes"/>
    <w:uiPriority w:val="99"/>
    <w:rsid w:val="00071329"/>
    <w:rPr>
      <w:sz w:val="20"/>
      <w:szCs w:val="20"/>
      <w:lang w:val="en-US" w:eastAsia="uk-UA"/>
    </w:rPr>
    <w:tblPr>
      <w:tblCellSpacing w:w="11" w:type="dxa"/>
      <w:tblInd w:w="0" w:type="dxa"/>
      <w:tblBorders>
        <w:insideH w:val="single" w:sz="4" w:space="0" w:color="8496B0"/>
        <w:insideV w:val="single" w:sz="4" w:space="0" w:color="8496B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rPr>
        <w:rFonts w:cs="Times New Roman"/>
        <w:b/>
        <w:color w:val="44546A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right"/>
      </w:pPr>
      <w:rPr>
        <w:rFonts w:cs="Times New Roman"/>
        <w:i/>
        <w:color w:val="44546A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">
    <w:name w:val="Звичайна таблиця 51"/>
    <w:uiPriority w:val="99"/>
    <w:rsid w:val="00071329"/>
    <w:rPr>
      <w:sz w:val="20"/>
      <w:szCs w:val="20"/>
      <w:lang w:val="en-US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cantSplit/>
        <w:tblHeader/>
      </w:trPr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paragraph" w:styleId="afa">
    <w:name w:val="Subtitle"/>
    <w:basedOn w:val="a"/>
    <w:next w:val="a"/>
    <w:link w:val="afb"/>
    <w:uiPriority w:val="99"/>
    <w:qFormat/>
    <w:rsid w:val="00071329"/>
    <w:pPr>
      <w:numPr>
        <w:ilvl w:val="1"/>
      </w:numPr>
      <w:spacing w:line="240" w:lineRule="auto"/>
    </w:pPr>
    <w:rPr>
      <w:rFonts w:ascii="Calibri Light" w:eastAsia="Times New Roman" w:hAnsi="Calibri Light"/>
      <w:color w:val="5A5A5A"/>
      <w:spacing w:val="15"/>
      <w:sz w:val="28"/>
      <w:lang w:val="en-US"/>
    </w:rPr>
  </w:style>
  <w:style w:type="character" w:customStyle="1" w:styleId="afb">
    <w:name w:val="Підзаголовок Знак"/>
    <w:basedOn w:val="a0"/>
    <w:link w:val="afa"/>
    <w:uiPriority w:val="99"/>
    <w:locked/>
    <w:rsid w:val="00071329"/>
    <w:rPr>
      <w:rFonts w:ascii="Calibri Light" w:hAnsi="Calibri Light" w:cs="Times New Roman"/>
      <w:color w:val="5A5A5A"/>
      <w:spacing w:val="15"/>
      <w:sz w:val="28"/>
      <w:lang w:val="en-US"/>
    </w:rPr>
  </w:style>
  <w:style w:type="paragraph" w:styleId="afc">
    <w:name w:val="table of figures"/>
    <w:basedOn w:val="a"/>
    <w:next w:val="a"/>
    <w:uiPriority w:val="99"/>
    <w:rsid w:val="00071329"/>
    <w:pPr>
      <w:spacing w:after="0" w:line="240" w:lineRule="auto"/>
      <w:ind w:left="1135" w:hanging="851"/>
    </w:pPr>
    <w:rPr>
      <w:rFonts w:cs="Calibri"/>
      <w:bCs/>
      <w:sz w:val="20"/>
      <w:szCs w:val="20"/>
      <w:lang w:val="en-US"/>
    </w:rPr>
  </w:style>
  <w:style w:type="paragraph" w:styleId="afd">
    <w:name w:val="TOC Heading"/>
    <w:basedOn w:val="a"/>
    <w:next w:val="a"/>
    <w:uiPriority w:val="99"/>
    <w:qFormat/>
    <w:rsid w:val="00071329"/>
    <w:pPr>
      <w:keepNext/>
      <w:suppressLineNumbers/>
      <w:pBdr>
        <w:top w:val="single" w:sz="4" w:space="1" w:color="5B9BD5"/>
        <w:bottom w:val="single" w:sz="2" w:space="1" w:color="5B9BD5"/>
      </w:pBdr>
      <w:spacing w:before="180" w:after="20"/>
    </w:pPr>
    <w:rPr>
      <w:color w:val="1F4E79"/>
      <w:spacing w:val="20"/>
      <w:kern w:val="32"/>
      <w:lang w:val="en-US"/>
    </w:rPr>
  </w:style>
  <w:style w:type="table" w:customStyle="1" w:styleId="210">
    <w:name w:val="Звичайна таблиця 21"/>
    <w:uiPriority w:val="99"/>
    <w:rsid w:val="00071329"/>
    <w:rPr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rPr>
        <w:cantSplit/>
        <w:tblHeader/>
      </w:trPr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myHeading1">
    <w:name w:val="myHeading1"/>
    <w:basedOn w:val="af3"/>
    <w:next w:val="af3"/>
    <w:uiPriority w:val="99"/>
    <w:rsid w:val="00071329"/>
    <w:pPr>
      <w:keepNext/>
      <w:keepLines/>
      <w:shd w:val="clear" w:color="auto" w:fill="D9E2F3"/>
      <w:spacing w:before="240" w:after="60"/>
      <w:jc w:val="both"/>
      <w:outlineLvl w:val="4"/>
    </w:pPr>
    <w:rPr>
      <w:rFonts w:ascii="Calibri Light" w:hAnsi="Calibri Light"/>
      <w:b/>
      <w:color w:val="1F3864"/>
      <w:spacing w:val="10"/>
      <w:kern w:val="20"/>
      <w:sz w:val="20"/>
      <w:lang w:val="en-US"/>
    </w:rPr>
  </w:style>
  <w:style w:type="paragraph" w:styleId="33">
    <w:name w:val="toc 3"/>
    <w:basedOn w:val="a"/>
    <w:next w:val="a"/>
    <w:autoRedefine/>
    <w:uiPriority w:val="99"/>
    <w:rsid w:val="00071329"/>
    <w:pPr>
      <w:suppressLineNumbers/>
      <w:tabs>
        <w:tab w:val="left" w:pos="1560"/>
        <w:tab w:val="right" w:leader="dot" w:pos="9016"/>
      </w:tabs>
      <w:spacing w:after="60"/>
      <w:ind w:left="1560" w:hanging="709"/>
      <w:contextualSpacing/>
    </w:pPr>
    <w:rPr>
      <w:noProof/>
      <w:sz w:val="20"/>
      <w:szCs w:val="20"/>
      <w:lang w:val="en-US"/>
    </w:rPr>
  </w:style>
  <w:style w:type="paragraph" w:styleId="25">
    <w:name w:val="toc 2"/>
    <w:basedOn w:val="a"/>
    <w:next w:val="a"/>
    <w:autoRedefine/>
    <w:uiPriority w:val="99"/>
    <w:rsid w:val="00071329"/>
    <w:pPr>
      <w:suppressLineNumbers/>
      <w:tabs>
        <w:tab w:val="left" w:pos="851"/>
        <w:tab w:val="right" w:leader="dot" w:pos="9016"/>
      </w:tabs>
      <w:spacing w:before="60" w:after="0"/>
      <w:ind w:left="850" w:hanging="425"/>
    </w:pPr>
    <w:rPr>
      <w:lang w:val="en-US"/>
    </w:rPr>
  </w:style>
  <w:style w:type="paragraph" w:styleId="12">
    <w:name w:val="toc 1"/>
    <w:basedOn w:val="a"/>
    <w:next w:val="a"/>
    <w:autoRedefine/>
    <w:uiPriority w:val="99"/>
    <w:rsid w:val="00071329"/>
    <w:pPr>
      <w:suppressLineNumbers/>
      <w:tabs>
        <w:tab w:val="left" w:pos="426"/>
        <w:tab w:val="right" w:leader="dot" w:pos="9016"/>
      </w:tabs>
      <w:spacing w:before="160" w:after="20"/>
      <w:ind w:left="425" w:hanging="425"/>
    </w:pPr>
    <w:rPr>
      <w:b/>
      <w:bCs/>
      <w:noProof/>
      <w:color w:val="1F4E79"/>
      <w:lang w:val="en-US"/>
    </w:rPr>
  </w:style>
  <w:style w:type="paragraph" w:customStyle="1" w:styleId="ListBulletCV">
    <w:name w:val="List Bullet CV"/>
    <w:basedOn w:val="a"/>
    <w:link w:val="ListBulletCVChar"/>
    <w:uiPriority w:val="99"/>
    <w:rsid w:val="00071329"/>
    <w:pPr>
      <w:keepLines/>
      <w:numPr>
        <w:numId w:val="26"/>
      </w:numPr>
      <w:spacing w:before="60" w:after="60" w:line="240" w:lineRule="auto"/>
      <w:ind w:hanging="360"/>
      <w:jc w:val="both"/>
    </w:pPr>
    <w:rPr>
      <w:rFonts w:eastAsia="Times New Roman"/>
      <w:sz w:val="20"/>
      <w:szCs w:val="20"/>
      <w:lang w:val="en-US"/>
    </w:rPr>
  </w:style>
  <w:style w:type="character" w:customStyle="1" w:styleId="ListBulletCVChar">
    <w:name w:val="List Bullet CV Char"/>
    <w:basedOn w:val="a0"/>
    <w:link w:val="ListBulletCV"/>
    <w:uiPriority w:val="99"/>
    <w:locked/>
    <w:rsid w:val="00071329"/>
    <w:rPr>
      <w:rFonts w:ascii="Calibri" w:hAnsi="Calibri" w:cs="Times New Roman"/>
      <w:sz w:val="20"/>
      <w:szCs w:val="20"/>
      <w:lang w:val="en-US"/>
    </w:rPr>
  </w:style>
  <w:style w:type="table" w:customStyle="1" w:styleId="110">
    <w:name w:val="Звичайна таблиця 11"/>
    <w:uiPriority w:val="99"/>
    <w:rsid w:val="00071329"/>
    <w:rPr>
      <w:sz w:val="20"/>
      <w:szCs w:val="20"/>
      <w:lang w:val="ka-GE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rPr>
        <w:cantSplit/>
        <w:tblHeader/>
      </w:trPr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-121">
    <w:name w:val="Таблиця-сітка 1 світла – акцент 21"/>
    <w:uiPriority w:val="99"/>
    <w:rsid w:val="00071329"/>
    <w:rPr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rPr>
        <w:cantSplit/>
        <w:tblHeader/>
      </w:trPr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1">
    <w:name w:val="Таблиця-сітка 1 (світла)1"/>
    <w:uiPriority w:val="99"/>
    <w:rsid w:val="00071329"/>
    <w:rPr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rPr>
        <w:cantSplit/>
        <w:tblHeader/>
      </w:trPr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41">
    <w:name w:val="Таблиця-сітка 1 (світла) – акцент 41"/>
    <w:uiPriority w:val="99"/>
    <w:rsid w:val="00071329"/>
    <w:rPr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rPr>
        <w:cantSplit/>
        <w:tblHeader/>
      </w:trPr>
      <w:tcPr>
        <w:tcBorders>
          <w:bottom w:val="single" w:sz="12" w:space="0" w:color="FFD9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711">
    <w:name w:val="Таблиця-сітка 7 (кольорова) – акцент 11"/>
    <w:uiPriority w:val="99"/>
    <w:rsid w:val="00071329"/>
    <w:rPr>
      <w:color w:val="2E74B5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rPr>
        <w:rFonts w:cs="Times New Roman"/>
        <w:b/>
        <w:bCs/>
      </w:rPr>
      <w:tblPr/>
      <w:trPr>
        <w:tblHeader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/>
        </w:tcBorders>
      </w:tcPr>
    </w:tblStylePr>
  </w:style>
  <w:style w:type="character" w:styleId="afe">
    <w:name w:val="Placeholder Text"/>
    <w:basedOn w:val="a0"/>
    <w:uiPriority w:val="99"/>
    <w:semiHidden/>
    <w:rsid w:val="00071329"/>
    <w:rPr>
      <w:rFonts w:cs="Times New Roman"/>
      <w:color w:val="808080"/>
    </w:rPr>
  </w:style>
  <w:style w:type="paragraph" w:styleId="aff">
    <w:name w:val="Revision"/>
    <w:hidden/>
    <w:uiPriority w:val="99"/>
    <w:semiHidden/>
    <w:rsid w:val="00071329"/>
    <w:rPr>
      <w:lang w:val="en-US" w:eastAsia="en-US"/>
    </w:rPr>
  </w:style>
  <w:style w:type="character" w:styleId="aff0">
    <w:name w:val="annotation reference"/>
    <w:basedOn w:val="a0"/>
    <w:uiPriority w:val="99"/>
    <w:semiHidden/>
    <w:rsid w:val="00071329"/>
    <w:rPr>
      <w:rFonts w:cs="Times New Roman"/>
      <w:sz w:val="16"/>
      <w:szCs w:val="16"/>
    </w:rPr>
  </w:style>
  <w:style w:type="paragraph" w:styleId="aff1">
    <w:name w:val="annotation text"/>
    <w:basedOn w:val="a"/>
    <w:link w:val="aff2"/>
    <w:uiPriority w:val="99"/>
    <w:rsid w:val="00071329"/>
    <w:pPr>
      <w:spacing w:line="240" w:lineRule="auto"/>
    </w:pPr>
    <w:rPr>
      <w:sz w:val="20"/>
      <w:szCs w:val="20"/>
      <w:lang w:val="en-US"/>
    </w:rPr>
  </w:style>
  <w:style w:type="character" w:customStyle="1" w:styleId="aff2">
    <w:name w:val="Текст примітки Знак"/>
    <w:basedOn w:val="a0"/>
    <w:link w:val="aff1"/>
    <w:uiPriority w:val="99"/>
    <w:locked/>
    <w:rsid w:val="00071329"/>
    <w:rPr>
      <w:rFonts w:ascii="Calibri" w:hAnsi="Calibri" w:cs="Times New Roman"/>
      <w:sz w:val="20"/>
      <w:szCs w:val="20"/>
      <w:lang w:val="en-US"/>
    </w:rPr>
  </w:style>
  <w:style w:type="paragraph" w:styleId="aff3">
    <w:name w:val="annotation subject"/>
    <w:basedOn w:val="aff1"/>
    <w:next w:val="aff1"/>
    <w:link w:val="aff4"/>
    <w:uiPriority w:val="99"/>
    <w:semiHidden/>
    <w:rsid w:val="00071329"/>
    <w:rPr>
      <w:b/>
      <w:bCs/>
    </w:rPr>
  </w:style>
  <w:style w:type="character" w:customStyle="1" w:styleId="aff4">
    <w:name w:val="Тема примітки Знак"/>
    <w:basedOn w:val="aff2"/>
    <w:link w:val="aff3"/>
    <w:uiPriority w:val="99"/>
    <w:semiHidden/>
    <w:locked/>
    <w:rsid w:val="00071329"/>
    <w:rPr>
      <w:rFonts w:ascii="Calibri" w:hAnsi="Calibri" w:cs="Times New Roman"/>
      <w:b/>
      <w:bCs/>
      <w:sz w:val="20"/>
      <w:szCs w:val="20"/>
      <w:lang w:val="en-US"/>
    </w:rPr>
  </w:style>
  <w:style w:type="character" w:customStyle="1" w:styleId="rvts44">
    <w:name w:val="rvts44"/>
    <w:uiPriority w:val="99"/>
    <w:rsid w:val="00E42BE3"/>
  </w:style>
  <w:style w:type="numbering" w:customStyle="1" w:styleId="myBulletMultilevel">
    <w:name w:val="myBullet_Multilevel"/>
    <w:rsid w:val="00DA4457"/>
    <w:pPr>
      <w:numPr>
        <w:numId w:val="22"/>
      </w:numPr>
    </w:pPr>
  </w:style>
  <w:style w:type="numbering" w:customStyle="1" w:styleId="myNumberBulletsMultilevel">
    <w:name w:val="myNumber_Bullets_Multilevel"/>
    <w:rsid w:val="00DA4457"/>
    <w:pPr>
      <w:numPr>
        <w:numId w:val="24"/>
      </w:numPr>
    </w:pPr>
  </w:style>
  <w:style w:type="numbering" w:customStyle="1" w:styleId="myNumbersMultilevel">
    <w:name w:val="myNumbers_Multilevel"/>
    <w:rsid w:val="00DA445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07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787/9789264270985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3382</Words>
  <Characters>26678</Characters>
  <Application>Microsoft Office Word</Application>
  <DocSecurity>0</DocSecurity>
  <Lines>222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Методологічні пояснення</vt:lpstr>
    </vt:vector>
  </TitlesOfParts>
  <Company>Hewlett-Packard Company</Company>
  <LinksUpToDate>false</LinksUpToDate>
  <CharactersWithSpaces>30001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Методологічні пояснення</dc:title>
  <dc:subject/>
  <dc:creator>D.Soldatova</dc:creator>
  <cp:keywords/>
  <dc:description/>
  <cp:lastModifiedBy>Султанова В.В.</cp:lastModifiedBy>
  <cp:revision>2</cp:revision>
  <dcterms:created xsi:type="dcterms:W3CDTF">2022-04-27T14:31:00Z</dcterms:created>
  <dcterms:modified xsi:type="dcterms:W3CDTF">2022-04-27T14:31:00Z</dcterms:modified>
</cp:coreProperties>
</file>