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A5D68" w:rsidRPr="0004353B" w:rsidRDefault="002A5D68" w:rsidP="009814E6">
      <w:pPr>
        <w:pStyle w:val="1"/>
        <w:jc w:val="center"/>
        <w:rPr>
          <w:b/>
          <w:sz w:val="28"/>
          <w:lang w:val="uk-UA"/>
        </w:rPr>
      </w:pPr>
      <w:r w:rsidRPr="0004353B">
        <w:rPr>
          <w:b/>
          <w:sz w:val="28"/>
          <w:lang w:val="uk-UA"/>
        </w:rPr>
        <w:t xml:space="preserve">Використання </w:t>
      </w:r>
      <w:r w:rsidR="009814E6">
        <w:rPr>
          <w:b/>
          <w:sz w:val="28"/>
          <w:lang w:val="uk-UA"/>
        </w:rPr>
        <w:t>палива</w:t>
      </w:r>
    </w:p>
    <w:p w:rsidR="002A5D68" w:rsidRPr="00324993" w:rsidRDefault="00476BFC" w:rsidP="002A5D68">
      <w:pPr>
        <w:pStyle w:val="1"/>
        <w:jc w:val="center"/>
        <w:rPr>
          <w:b/>
          <w:sz w:val="28"/>
          <w:vertAlign w:val="superscript"/>
          <w:lang w:val="uk-UA"/>
        </w:rPr>
      </w:pPr>
      <w:r>
        <w:rPr>
          <w:b/>
          <w:sz w:val="28"/>
          <w:lang w:val="uk-UA"/>
        </w:rPr>
        <w:t xml:space="preserve"> у 20</w:t>
      </w:r>
      <w:r w:rsidR="008D2DA2">
        <w:rPr>
          <w:b/>
          <w:sz w:val="28"/>
          <w:lang w:val="uk-UA"/>
        </w:rPr>
        <w:t>1</w:t>
      </w:r>
      <w:r w:rsidR="00445076" w:rsidRPr="00445076">
        <w:rPr>
          <w:b/>
          <w:sz w:val="28"/>
          <w:lang w:val="uk-UA"/>
        </w:rPr>
        <w:t>6</w:t>
      </w:r>
      <w:r w:rsidR="002A5D68" w:rsidRPr="0004353B">
        <w:rPr>
          <w:b/>
          <w:sz w:val="28"/>
          <w:lang w:val="uk-UA"/>
        </w:rPr>
        <w:t xml:space="preserve"> році</w:t>
      </w:r>
      <w:r w:rsidR="00496259">
        <w:rPr>
          <w:b/>
          <w:sz w:val="28"/>
          <w:vertAlign w:val="superscript"/>
          <w:lang w:val="uk-UA"/>
        </w:rPr>
        <w:t>1</w:t>
      </w:r>
    </w:p>
    <w:p w:rsidR="002A5D68" w:rsidRDefault="002A5D68" w:rsidP="000B7B2F">
      <w:pPr>
        <w:spacing w:before="120" w:after="120" w:line="360" w:lineRule="exact"/>
        <w:ind w:firstLine="709"/>
        <w:jc w:val="both"/>
        <w:rPr>
          <w:sz w:val="28"/>
        </w:rPr>
      </w:pPr>
      <w:r w:rsidRPr="00BD7984">
        <w:rPr>
          <w:sz w:val="28"/>
        </w:rPr>
        <w:t xml:space="preserve">Підприємствами </w:t>
      </w:r>
      <w:r w:rsidR="00540802" w:rsidRPr="00BD7984">
        <w:rPr>
          <w:sz w:val="28"/>
        </w:rPr>
        <w:t>й</w:t>
      </w:r>
      <w:r w:rsidRPr="00BD7984">
        <w:rPr>
          <w:sz w:val="28"/>
        </w:rPr>
        <w:t xml:space="preserve"> організац</w:t>
      </w:r>
      <w:r w:rsidR="00496759" w:rsidRPr="00BD7984">
        <w:rPr>
          <w:sz w:val="28"/>
        </w:rPr>
        <w:t>іями в</w:t>
      </w:r>
      <w:r w:rsidR="000F0FA2" w:rsidRPr="00BD7984">
        <w:rPr>
          <w:sz w:val="28"/>
        </w:rPr>
        <w:t xml:space="preserve">сіх </w:t>
      </w:r>
      <w:r w:rsidR="00205B03" w:rsidRPr="00BD7984">
        <w:rPr>
          <w:sz w:val="28"/>
        </w:rPr>
        <w:t>видів економічної діяльності</w:t>
      </w:r>
      <w:r w:rsidR="000F0FA2" w:rsidRPr="00BD7984">
        <w:rPr>
          <w:sz w:val="28"/>
        </w:rPr>
        <w:t xml:space="preserve"> </w:t>
      </w:r>
      <w:r w:rsidR="00496759" w:rsidRPr="00BD7984">
        <w:rPr>
          <w:sz w:val="28"/>
        </w:rPr>
        <w:t>у</w:t>
      </w:r>
      <w:r w:rsidR="00205B03" w:rsidRPr="00BD7984">
        <w:rPr>
          <w:sz w:val="28"/>
        </w:rPr>
        <w:t xml:space="preserve"> </w:t>
      </w:r>
      <w:r w:rsidR="000F0FA2" w:rsidRPr="00BD7984">
        <w:rPr>
          <w:sz w:val="28"/>
        </w:rPr>
        <w:t>20</w:t>
      </w:r>
      <w:r w:rsidR="00677476" w:rsidRPr="00BD7984">
        <w:rPr>
          <w:sz w:val="28"/>
        </w:rPr>
        <w:t>1</w:t>
      </w:r>
      <w:r w:rsidR="00445076" w:rsidRPr="00445076">
        <w:rPr>
          <w:sz w:val="28"/>
        </w:rPr>
        <w:t>6</w:t>
      </w:r>
      <w:r w:rsidRPr="00BD7984">
        <w:rPr>
          <w:sz w:val="28"/>
        </w:rPr>
        <w:t>р. ви</w:t>
      </w:r>
      <w:r w:rsidR="002F6145" w:rsidRPr="00BD7984">
        <w:rPr>
          <w:sz w:val="28"/>
        </w:rPr>
        <w:t xml:space="preserve">користано </w:t>
      </w:r>
      <w:r w:rsidR="008B6B74" w:rsidRPr="008B6B74">
        <w:rPr>
          <w:sz w:val="28"/>
        </w:rPr>
        <w:t>114,8</w:t>
      </w:r>
      <w:r w:rsidR="00095672" w:rsidRPr="00BD7984">
        <w:rPr>
          <w:sz w:val="28"/>
        </w:rPr>
        <w:t xml:space="preserve"> </w:t>
      </w:r>
      <w:proofErr w:type="spellStart"/>
      <w:r w:rsidRPr="00BD7984">
        <w:rPr>
          <w:sz w:val="28"/>
        </w:rPr>
        <w:t>млн.т</w:t>
      </w:r>
      <w:proofErr w:type="spellEnd"/>
      <w:r w:rsidR="00864EC2">
        <w:rPr>
          <w:sz w:val="28"/>
        </w:rPr>
        <w:t xml:space="preserve"> </w:t>
      </w:r>
      <w:proofErr w:type="spellStart"/>
      <w:r w:rsidR="00712837">
        <w:rPr>
          <w:sz w:val="28"/>
        </w:rPr>
        <w:t>умов</w:t>
      </w:r>
      <w:r w:rsidR="00864EC2">
        <w:rPr>
          <w:sz w:val="28"/>
        </w:rPr>
        <w:t>.п</w:t>
      </w:r>
      <w:r w:rsidR="00712837">
        <w:rPr>
          <w:sz w:val="28"/>
        </w:rPr>
        <w:t>алив</w:t>
      </w:r>
      <w:proofErr w:type="spellEnd"/>
      <w:r w:rsidRPr="00BD7984">
        <w:rPr>
          <w:sz w:val="28"/>
        </w:rPr>
        <w:t xml:space="preserve"> первинних і вторинних видів</w:t>
      </w:r>
      <w:r w:rsidR="00140777" w:rsidRPr="00140777">
        <w:rPr>
          <w:sz w:val="28"/>
        </w:rPr>
        <w:t xml:space="preserve">                                                   </w:t>
      </w:r>
      <w:r w:rsidR="00140777" w:rsidRPr="00BD7984">
        <w:rPr>
          <w:sz w:val="28"/>
        </w:rPr>
        <w:t>(з</w:t>
      </w:r>
      <w:r w:rsidRPr="00BD7984">
        <w:rPr>
          <w:sz w:val="28"/>
        </w:rPr>
        <w:t xml:space="preserve"> урахуванням обсягів реалізації</w:t>
      </w:r>
      <w:r w:rsidR="00BD3F54" w:rsidRPr="00BD7984">
        <w:rPr>
          <w:sz w:val="28"/>
        </w:rPr>
        <w:t xml:space="preserve"> населенню), що на </w:t>
      </w:r>
      <w:r w:rsidR="008B6B74" w:rsidRPr="008B6B74">
        <w:rPr>
          <w:sz w:val="28"/>
        </w:rPr>
        <w:t>4,6</w:t>
      </w:r>
      <w:r w:rsidR="00C10C4E" w:rsidRPr="008B6B74">
        <w:rPr>
          <w:sz w:val="28"/>
        </w:rPr>
        <w:t>%</w:t>
      </w:r>
      <w:r w:rsidR="00C10C4E" w:rsidRPr="00BD7984">
        <w:rPr>
          <w:sz w:val="28"/>
        </w:rPr>
        <w:t xml:space="preserve"> </w:t>
      </w:r>
      <w:r w:rsidR="008B6B74">
        <w:rPr>
          <w:sz w:val="28"/>
        </w:rPr>
        <w:t>біль</w:t>
      </w:r>
      <w:r w:rsidR="00C10C4E" w:rsidRPr="00BD7984">
        <w:rPr>
          <w:sz w:val="28"/>
        </w:rPr>
        <w:t>ше</w:t>
      </w:r>
      <w:r w:rsidRPr="00BD7984">
        <w:rPr>
          <w:sz w:val="28"/>
        </w:rPr>
        <w:t xml:space="preserve">, ніж </w:t>
      </w:r>
      <w:r w:rsidR="00A612EE" w:rsidRPr="00BD7984">
        <w:rPr>
          <w:sz w:val="28"/>
        </w:rPr>
        <w:t>у</w:t>
      </w:r>
      <w:r w:rsidRPr="00BD7984">
        <w:rPr>
          <w:sz w:val="28"/>
        </w:rPr>
        <w:t xml:space="preserve"> попередн</w:t>
      </w:r>
      <w:r w:rsidR="00A612EE" w:rsidRPr="00BD7984">
        <w:rPr>
          <w:sz w:val="28"/>
        </w:rPr>
        <w:t>ьому</w:t>
      </w:r>
      <w:r w:rsidRPr="00BD7984">
        <w:rPr>
          <w:sz w:val="28"/>
        </w:rPr>
        <w:t xml:space="preserve"> р</w:t>
      </w:r>
      <w:r w:rsidR="00A612EE" w:rsidRPr="00BD7984">
        <w:rPr>
          <w:sz w:val="28"/>
        </w:rPr>
        <w:t>оці</w:t>
      </w:r>
      <w:r w:rsidRPr="00BD7984">
        <w:rPr>
          <w:sz w:val="28"/>
        </w:rPr>
        <w:t>.</w:t>
      </w:r>
    </w:p>
    <w:p w:rsidR="000B7B2F" w:rsidRPr="00496259" w:rsidRDefault="000B7B2F" w:rsidP="000B7B2F">
      <w:pPr>
        <w:spacing w:before="120" w:after="120" w:line="360" w:lineRule="exact"/>
        <w:jc w:val="center"/>
        <w:rPr>
          <w:b/>
          <w:sz w:val="28"/>
        </w:rPr>
      </w:pPr>
      <w:r w:rsidRPr="000B7B2F">
        <w:rPr>
          <w:b/>
          <w:sz w:val="28"/>
        </w:rPr>
        <w:t xml:space="preserve">Структура </w:t>
      </w:r>
      <w:r w:rsidR="00ED494B">
        <w:rPr>
          <w:b/>
          <w:sz w:val="28"/>
        </w:rPr>
        <w:t>використ</w:t>
      </w:r>
      <w:r w:rsidRPr="000B7B2F">
        <w:rPr>
          <w:b/>
          <w:sz w:val="28"/>
        </w:rPr>
        <w:t>ання палива</w:t>
      </w:r>
      <w:r w:rsidR="00496259">
        <w:rPr>
          <w:b/>
          <w:sz w:val="28"/>
        </w:rPr>
        <w:t xml:space="preserve">, </w:t>
      </w:r>
      <w:r w:rsidR="00496259" w:rsidRPr="00496259">
        <w:rPr>
          <w:sz w:val="28"/>
        </w:rPr>
        <w:t>у %</w:t>
      </w: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2F03C8" w:rsidRPr="002F03C8" w:rsidTr="002B68C2">
        <w:trPr>
          <w:trHeight w:val="441"/>
        </w:trPr>
        <w:tc>
          <w:tcPr>
            <w:tcW w:w="4678" w:type="dxa"/>
            <w:shd w:val="clear" w:color="auto" w:fill="auto"/>
          </w:tcPr>
          <w:p w:rsidR="002F03C8" w:rsidRPr="00080060" w:rsidRDefault="000B7B2F" w:rsidP="00080060">
            <w:pPr>
              <w:spacing w:line="360" w:lineRule="exact"/>
              <w:jc w:val="center"/>
              <w:rPr>
                <w:b/>
                <w:sz w:val="28"/>
                <w:lang w:val="en-US"/>
              </w:rPr>
            </w:pPr>
            <w:r w:rsidRPr="000B7B2F">
              <w:rPr>
                <w:b/>
                <w:sz w:val="28"/>
              </w:rPr>
              <w:t>201</w:t>
            </w:r>
            <w:r w:rsidR="00080060">
              <w:rPr>
                <w:b/>
                <w:sz w:val="28"/>
                <w:lang w:val="en-US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2F03C8" w:rsidRPr="00080060" w:rsidRDefault="000B7B2F" w:rsidP="00080060">
            <w:pPr>
              <w:spacing w:line="360" w:lineRule="exact"/>
              <w:jc w:val="center"/>
              <w:rPr>
                <w:b/>
                <w:sz w:val="28"/>
                <w:lang w:val="en-US"/>
              </w:rPr>
            </w:pPr>
            <w:r w:rsidRPr="000B7B2F">
              <w:rPr>
                <w:b/>
                <w:sz w:val="28"/>
              </w:rPr>
              <w:t>201</w:t>
            </w:r>
            <w:r w:rsidR="00080060">
              <w:rPr>
                <w:b/>
                <w:sz w:val="28"/>
                <w:lang w:val="en-US"/>
              </w:rPr>
              <w:t>6</w:t>
            </w:r>
          </w:p>
        </w:tc>
      </w:tr>
    </w:tbl>
    <w:tbl>
      <w:tblPr>
        <w:tblStyle w:val="a5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6"/>
        <w:gridCol w:w="4746"/>
      </w:tblGrid>
      <w:tr w:rsidR="002B68C2" w:rsidTr="002B68C2">
        <w:tc>
          <w:tcPr>
            <w:tcW w:w="4673" w:type="dxa"/>
          </w:tcPr>
          <w:p w:rsidR="002B68C2" w:rsidRDefault="00080060" w:rsidP="006F0F1C">
            <w:r w:rsidRPr="002F03C8">
              <w:rPr>
                <w:noProof/>
                <w:sz w:val="28"/>
                <w:lang w:eastAsia="uk-UA"/>
              </w:rPr>
              <w:drawing>
                <wp:inline distT="0" distB="0" distL="0" distR="0" wp14:anchorId="25241A40" wp14:editId="750FC604">
                  <wp:extent cx="2876550" cy="2190750"/>
                  <wp:effectExtent l="0" t="0" r="0" b="0"/>
                  <wp:docPr id="2" name="Диаграмм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  <w:tc>
          <w:tcPr>
            <w:tcW w:w="4683" w:type="dxa"/>
          </w:tcPr>
          <w:p w:rsidR="002B68C2" w:rsidRDefault="000A142A" w:rsidP="006F0F1C">
            <w:r w:rsidRPr="002F03C8">
              <w:rPr>
                <w:noProof/>
                <w:sz w:val="28"/>
                <w:lang w:eastAsia="uk-UA"/>
              </w:rPr>
              <w:drawing>
                <wp:inline distT="0" distB="0" distL="0" distR="0" wp14:anchorId="72A5DCCB" wp14:editId="60145E04">
                  <wp:extent cx="2876550" cy="2190750"/>
                  <wp:effectExtent l="0" t="0" r="0" b="0"/>
                  <wp:docPr id="8" name="Диаграмма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</w:tr>
    </w:tbl>
    <w:p w:rsidR="002A5D68" w:rsidRPr="00BD7984" w:rsidRDefault="002A5D68" w:rsidP="00121A85">
      <w:pPr>
        <w:spacing w:line="360" w:lineRule="exact"/>
        <w:ind w:firstLine="709"/>
        <w:jc w:val="both"/>
        <w:rPr>
          <w:sz w:val="28"/>
          <w:szCs w:val="28"/>
        </w:rPr>
      </w:pPr>
      <w:r w:rsidRPr="00BD7984">
        <w:rPr>
          <w:sz w:val="28"/>
          <w:szCs w:val="28"/>
        </w:rPr>
        <w:t>У с</w:t>
      </w:r>
      <w:r w:rsidR="00055661" w:rsidRPr="00BD7984">
        <w:rPr>
          <w:sz w:val="28"/>
          <w:szCs w:val="28"/>
        </w:rPr>
        <w:t xml:space="preserve">труктурі використаного палива </w:t>
      </w:r>
      <w:r w:rsidR="00095672" w:rsidRPr="00BD7984">
        <w:rPr>
          <w:sz w:val="28"/>
          <w:szCs w:val="28"/>
        </w:rPr>
        <w:t>3</w:t>
      </w:r>
      <w:r w:rsidR="008B6B74">
        <w:rPr>
          <w:sz w:val="28"/>
          <w:szCs w:val="28"/>
          <w:lang w:val="ru-RU"/>
        </w:rPr>
        <w:t>4</w:t>
      </w:r>
      <w:r w:rsidR="000A142A">
        <w:rPr>
          <w:sz w:val="28"/>
          <w:szCs w:val="28"/>
        </w:rPr>
        <w:t>,</w:t>
      </w:r>
      <w:r w:rsidR="008B6B74">
        <w:rPr>
          <w:sz w:val="28"/>
          <w:szCs w:val="28"/>
          <w:lang w:val="ru-RU"/>
        </w:rPr>
        <w:t>3</w:t>
      </w:r>
      <w:r w:rsidR="00074B58" w:rsidRPr="00BD7984">
        <w:rPr>
          <w:sz w:val="28"/>
          <w:szCs w:val="28"/>
        </w:rPr>
        <w:t xml:space="preserve">% припадало на </w:t>
      </w:r>
      <w:r w:rsidR="00D80BAE" w:rsidRPr="00BD7984">
        <w:rPr>
          <w:sz w:val="28"/>
          <w:szCs w:val="28"/>
        </w:rPr>
        <w:t xml:space="preserve">природний </w:t>
      </w:r>
      <w:r w:rsidR="00074B58" w:rsidRPr="00BD7984">
        <w:rPr>
          <w:sz w:val="28"/>
          <w:szCs w:val="28"/>
        </w:rPr>
        <w:t xml:space="preserve">газ, </w:t>
      </w:r>
      <w:r w:rsidR="00A612EE" w:rsidRPr="00BD7984">
        <w:rPr>
          <w:sz w:val="28"/>
          <w:szCs w:val="28"/>
        </w:rPr>
        <w:t>3</w:t>
      </w:r>
      <w:r w:rsidR="0039342C" w:rsidRPr="0039342C">
        <w:rPr>
          <w:sz w:val="28"/>
          <w:szCs w:val="28"/>
          <w:lang w:val="ru-RU"/>
        </w:rPr>
        <w:t>1</w:t>
      </w:r>
      <w:r w:rsidR="000B7B2F">
        <w:rPr>
          <w:sz w:val="28"/>
          <w:szCs w:val="28"/>
          <w:lang w:val="ru-RU"/>
        </w:rPr>
        <w:t>,</w:t>
      </w:r>
      <w:r w:rsidR="008B6B74">
        <w:rPr>
          <w:sz w:val="28"/>
          <w:szCs w:val="28"/>
          <w:lang w:val="ru-RU"/>
        </w:rPr>
        <w:t>8</w:t>
      </w:r>
      <w:r w:rsidR="00A71C65" w:rsidRPr="00BD7984">
        <w:rPr>
          <w:sz w:val="28"/>
          <w:szCs w:val="28"/>
        </w:rPr>
        <w:t>%</w:t>
      </w:r>
      <w:r w:rsidR="00074B58" w:rsidRPr="00BD7984">
        <w:rPr>
          <w:sz w:val="28"/>
          <w:szCs w:val="28"/>
        </w:rPr>
        <w:t xml:space="preserve"> </w:t>
      </w:r>
      <w:r w:rsidR="007D08E7" w:rsidRPr="00BD7984">
        <w:rPr>
          <w:sz w:val="28"/>
          <w:szCs w:val="28"/>
        </w:rPr>
        <w:t>– на вугілля,</w:t>
      </w:r>
      <w:r w:rsidR="002C26C4" w:rsidRPr="00BD7984">
        <w:rPr>
          <w:sz w:val="28"/>
          <w:szCs w:val="28"/>
        </w:rPr>
        <w:t xml:space="preserve"> </w:t>
      </w:r>
      <w:r w:rsidR="008B6B74">
        <w:rPr>
          <w:sz w:val="28"/>
          <w:szCs w:val="28"/>
        </w:rPr>
        <w:t>1</w:t>
      </w:r>
      <w:r w:rsidR="008B6B74">
        <w:rPr>
          <w:sz w:val="28"/>
          <w:szCs w:val="28"/>
          <w:lang w:val="ru-RU"/>
        </w:rPr>
        <w:t>1</w:t>
      </w:r>
      <w:r w:rsidR="008B6B74" w:rsidRPr="00BD7984">
        <w:rPr>
          <w:sz w:val="28"/>
          <w:szCs w:val="28"/>
        </w:rPr>
        <w:t>,</w:t>
      </w:r>
      <w:r w:rsidR="008B6B74">
        <w:rPr>
          <w:sz w:val="28"/>
          <w:szCs w:val="28"/>
          <w:lang w:val="ru-RU"/>
        </w:rPr>
        <w:t>9</w:t>
      </w:r>
      <w:r w:rsidR="008B6B74" w:rsidRPr="00BD7984">
        <w:rPr>
          <w:sz w:val="28"/>
          <w:szCs w:val="28"/>
        </w:rPr>
        <w:t>% – на нафтопродукти</w:t>
      </w:r>
      <w:r w:rsidR="008B6B74">
        <w:rPr>
          <w:sz w:val="28"/>
          <w:szCs w:val="28"/>
        </w:rPr>
        <w:t>,</w:t>
      </w:r>
      <w:r w:rsidR="008B6B74">
        <w:rPr>
          <w:sz w:val="28"/>
          <w:szCs w:val="28"/>
          <w:lang w:val="ru-RU"/>
        </w:rPr>
        <w:t xml:space="preserve"> </w:t>
      </w:r>
      <w:r w:rsidR="00A9224A">
        <w:rPr>
          <w:sz w:val="28"/>
          <w:szCs w:val="28"/>
          <w:lang w:val="ru-RU"/>
        </w:rPr>
        <w:t>1</w:t>
      </w:r>
      <w:r w:rsidR="00ED494B">
        <w:rPr>
          <w:sz w:val="28"/>
          <w:szCs w:val="28"/>
          <w:lang w:val="ru-RU"/>
        </w:rPr>
        <w:t>1</w:t>
      </w:r>
      <w:r w:rsidR="00A9224A">
        <w:rPr>
          <w:sz w:val="28"/>
          <w:szCs w:val="28"/>
          <w:lang w:val="ru-RU"/>
        </w:rPr>
        <w:t>,</w:t>
      </w:r>
      <w:r w:rsidR="008B6B74">
        <w:rPr>
          <w:sz w:val="28"/>
          <w:szCs w:val="28"/>
          <w:lang w:val="ru-RU"/>
        </w:rPr>
        <w:t>2</w:t>
      </w:r>
      <w:r w:rsidR="00A9224A" w:rsidRPr="00BD7984">
        <w:rPr>
          <w:sz w:val="28"/>
          <w:szCs w:val="28"/>
        </w:rPr>
        <w:t>% – на кокс і напівкокс</w:t>
      </w:r>
      <w:r w:rsidR="00677476" w:rsidRPr="00BD7984">
        <w:rPr>
          <w:sz w:val="28"/>
          <w:szCs w:val="28"/>
        </w:rPr>
        <w:t>.</w:t>
      </w:r>
      <w:r w:rsidR="00FF0A94" w:rsidRPr="00BD7984">
        <w:rPr>
          <w:sz w:val="28"/>
          <w:szCs w:val="28"/>
        </w:rPr>
        <w:t xml:space="preserve"> </w:t>
      </w:r>
      <w:r w:rsidR="00121A85">
        <w:rPr>
          <w:sz w:val="28"/>
          <w:szCs w:val="28"/>
        </w:rPr>
        <w:t>П</w:t>
      </w:r>
      <w:r w:rsidR="002932C6" w:rsidRPr="00BD7984">
        <w:rPr>
          <w:sz w:val="28"/>
          <w:szCs w:val="28"/>
        </w:rPr>
        <w:t>орівняно з 201</w:t>
      </w:r>
      <w:r w:rsidR="00C9131C" w:rsidRPr="00C9131C">
        <w:rPr>
          <w:sz w:val="28"/>
          <w:szCs w:val="28"/>
        </w:rPr>
        <w:t>5</w:t>
      </w:r>
      <w:r w:rsidR="002932C6" w:rsidRPr="00BD7984">
        <w:rPr>
          <w:sz w:val="28"/>
          <w:szCs w:val="28"/>
        </w:rPr>
        <w:t>р</w:t>
      </w:r>
      <w:r w:rsidR="00121A85">
        <w:rPr>
          <w:sz w:val="28"/>
          <w:szCs w:val="28"/>
        </w:rPr>
        <w:t>.</w:t>
      </w:r>
      <w:r w:rsidR="002932C6" w:rsidRPr="00BD7984">
        <w:rPr>
          <w:sz w:val="28"/>
          <w:szCs w:val="28"/>
        </w:rPr>
        <w:t xml:space="preserve"> </w:t>
      </w:r>
      <w:r w:rsidR="00121A85">
        <w:rPr>
          <w:sz w:val="28"/>
          <w:szCs w:val="28"/>
        </w:rPr>
        <w:t>у</w:t>
      </w:r>
      <w:r w:rsidR="00121A85" w:rsidRPr="00BD7984">
        <w:rPr>
          <w:sz w:val="28"/>
          <w:szCs w:val="28"/>
        </w:rPr>
        <w:t xml:space="preserve"> структурі </w:t>
      </w:r>
      <w:r w:rsidR="00ED494B">
        <w:rPr>
          <w:sz w:val="28"/>
          <w:szCs w:val="28"/>
        </w:rPr>
        <w:t>використання</w:t>
      </w:r>
      <w:r w:rsidR="00121A85" w:rsidRPr="00BD7984">
        <w:rPr>
          <w:sz w:val="28"/>
          <w:szCs w:val="28"/>
        </w:rPr>
        <w:t xml:space="preserve"> палива </w:t>
      </w:r>
      <w:r w:rsidR="00C20E9C" w:rsidRPr="00BD7984">
        <w:rPr>
          <w:sz w:val="28"/>
          <w:szCs w:val="28"/>
        </w:rPr>
        <w:t>відбул</w:t>
      </w:r>
      <w:r w:rsidR="00E81C8E">
        <w:rPr>
          <w:sz w:val="28"/>
          <w:szCs w:val="28"/>
        </w:rPr>
        <w:t>и</w:t>
      </w:r>
      <w:r w:rsidR="00C20E9C" w:rsidRPr="00BD7984">
        <w:rPr>
          <w:sz w:val="28"/>
          <w:szCs w:val="28"/>
        </w:rPr>
        <w:t>сь</w:t>
      </w:r>
      <w:r w:rsidR="00E81C8E">
        <w:rPr>
          <w:sz w:val="28"/>
          <w:szCs w:val="28"/>
        </w:rPr>
        <w:t xml:space="preserve"> незначні зміни</w:t>
      </w:r>
      <w:r w:rsidR="00C20E9C" w:rsidRPr="00BD7984">
        <w:rPr>
          <w:sz w:val="28"/>
          <w:szCs w:val="28"/>
        </w:rPr>
        <w:t>:</w:t>
      </w:r>
      <w:r w:rsidR="002F50F6" w:rsidRPr="00BD7984">
        <w:rPr>
          <w:sz w:val="28"/>
          <w:szCs w:val="28"/>
        </w:rPr>
        <w:t xml:space="preserve"> </w:t>
      </w:r>
      <w:r w:rsidR="00ED494B">
        <w:rPr>
          <w:sz w:val="28"/>
          <w:szCs w:val="28"/>
        </w:rPr>
        <w:t>збільшил</w:t>
      </w:r>
      <w:r w:rsidR="00C9131C">
        <w:rPr>
          <w:sz w:val="28"/>
          <w:szCs w:val="28"/>
        </w:rPr>
        <w:t>и</w:t>
      </w:r>
      <w:r w:rsidR="00ED494B">
        <w:rPr>
          <w:sz w:val="28"/>
          <w:szCs w:val="28"/>
        </w:rPr>
        <w:t xml:space="preserve">сь </w:t>
      </w:r>
      <w:r w:rsidR="002F50F6" w:rsidRPr="00BD7984">
        <w:rPr>
          <w:sz w:val="28"/>
          <w:szCs w:val="28"/>
        </w:rPr>
        <w:t>част</w:t>
      </w:r>
      <w:r w:rsidR="00DD05BE" w:rsidRPr="00BD7984">
        <w:rPr>
          <w:sz w:val="28"/>
          <w:szCs w:val="28"/>
        </w:rPr>
        <w:t>к</w:t>
      </w:r>
      <w:r w:rsidR="00C9131C">
        <w:rPr>
          <w:sz w:val="28"/>
          <w:szCs w:val="28"/>
        </w:rPr>
        <w:t>и</w:t>
      </w:r>
      <w:r w:rsidR="008B6B74" w:rsidRPr="008B6B74">
        <w:rPr>
          <w:sz w:val="28"/>
          <w:szCs w:val="28"/>
        </w:rPr>
        <w:t xml:space="preserve"> </w:t>
      </w:r>
      <w:r w:rsidR="008B6B74" w:rsidRPr="00C9131C">
        <w:rPr>
          <w:sz w:val="28"/>
          <w:szCs w:val="28"/>
        </w:rPr>
        <w:t>вугілля</w:t>
      </w:r>
      <w:r w:rsidR="008B6B74" w:rsidRPr="00BD7984">
        <w:rPr>
          <w:sz w:val="28"/>
          <w:szCs w:val="28"/>
        </w:rPr>
        <w:t xml:space="preserve"> </w:t>
      </w:r>
      <w:r w:rsidR="00140777" w:rsidRPr="00C9131C">
        <w:rPr>
          <w:sz w:val="28"/>
          <w:szCs w:val="28"/>
        </w:rPr>
        <w:t>на</w:t>
      </w:r>
      <w:r w:rsidR="00140777">
        <w:rPr>
          <w:sz w:val="28"/>
          <w:szCs w:val="28"/>
        </w:rPr>
        <w:t xml:space="preserve"> </w:t>
      </w:r>
      <w:r w:rsidR="008B6B74">
        <w:rPr>
          <w:sz w:val="28"/>
          <w:szCs w:val="28"/>
        </w:rPr>
        <w:t>0</w:t>
      </w:r>
      <w:r w:rsidR="008B6B74" w:rsidRPr="00C9131C">
        <w:rPr>
          <w:sz w:val="28"/>
          <w:szCs w:val="28"/>
        </w:rPr>
        <w:t>,</w:t>
      </w:r>
      <w:r w:rsidR="00B6667F">
        <w:rPr>
          <w:sz w:val="28"/>
          <w:szCs w:val="28"/>
        </w:rPr>
        <w:t>9</w:t>
      </w:r>
      <w:r w:rsidR="008B6B74" w:rsidRPr="00C9131C">
        <w:rPr>
          <w:sz w:val="28"/>
          <w:szCs w:val="28"/>
        </w:rPr>
        <w:t xml:space="preserve"> </w:t>
      </w:r>
      <w:proofErr w:type="spellStart"/>
      <w:r w:rsidR="008B6B74" w:rsidRPr="00C9131C">
        <w:rPr>
          <w:sz w:val="28"/>
          <w:szCs w:val="28"/>
        </w:rPr>
        <w:t>в.п</w:t>
      </w:r>
      <w:proofErr w:type="spellEnd"/>
      <w:r w:rsidR="008B6B74" w:rsidRPr="00C9131C">
        <w:rPr>
          <w:sz w:val="28"/>
          <w:szCs w:val="28"/>
        </w:rPr>
        <w:t>.</w:t>
      </w:r>
      <w:r w:rsidR="00C9131C" w:rsidRPr="00C9131C">
        <w:rPr>
          <w:sz w:val="28"/>
          <w:szCs w:val="28"/>
        </w:rPr>
        <w:t xml:space="preserve"> </w:t>
      </w:r>
      <w:r w:rsidR="00B6667F">
        <w:rPr>
          <w:sz w:val="28"/>
          <w:szCs w:val="28"/>
        </w:rPr>
        <w:t xml:space="preserve">та </w:t>
      </w:r>
      <w:r w:rsidR="00C9131C" w:rsidRPr="00BD7984">
        <w:rPr>
          <w:sz w:val="28"/>
          <w:szCs w:val="28"/>
        </w:rPr>
        <w:t>нафтопродукт</w:t>
      </w:r>
      <w:r w:rsidR="00C9131C" w:rsidRPr="00C9131C">
        <w:rPr>
          <w:sz w:val="28"/>
          <w:szCs w:val="28"/>
        </w:rPr>
        <w:t xml:space="preserve">ів на </w:t>
      </w:r>
      <w:r w:rsidR="00B6667F">
        <w:rPr>
          <w:sz w:val="28"/>
          <w:szCs w:val="28"/>
        </w:rPr>
        <w:t>0,3</w:t>
      </w:r>
      <w:r w:rsidR="00C9131C" w:rsidRPr="00C9131C">
        <w:rPr>
          <w:sz w:val="28"/>
          <w:szCs w:val="28"/>
        </w:rPr>
        <w:t xml:space="preserve"> </w:t>
      </w:r>
      <w:proofErr w:type="spellStart"/>
      <w:r w:rsidR="00C9131C" w:rsidRPr="00C9131C">
        <w:rPr>
          <w:sz w:val="28"/>
          <w:szCs w:val="28"/>
        </w:rPr>
        <w:t>в.п</w:t>
      </w:r>
      <w:proofErr w:type="spellEnd"/>
      <w:r w:rsidR="00C9131C" w:rsidRPr="00C9131C">
        <w:rPr>
          <w:sz w:val="28"/>
          <w:szCs w:val="28"/>
        </w:rPr>
        <w:t xml:space="preserve">. </w:t>
      </w:r>
      <w:r w:rsidR="007355CC">
        <w:rPr>
          <w:sz w:val="28"/>
          <w:szCs w:val="28"/>
        </w:rPr>
        <w:t xml:space="preserve">при одночасному </w:t>
      </w:r>
      <w:r w:rsidR="00ED494B">
        <w:rPr>
          <w:sz w:val="28"/>
          <w:szCs w:val="28"/>
        </w:rPr>
        <w:t>змен</w:t>
      </w:r>
      <w:r w:rsidR="007355CC">
        <w:rPr>
          <w:sz w:val="28"/>
          <w:szCs w:val="28"/>
        </w:rPr>
        <w:t>шенні</w:t>
      </w:r>
      <w:r w:rsidR="00F257B8" w:rsidRPr="00BD7984">
        <w:rPr>
          <w:sz w:val="28"/>
          <w:szCs w:val="28"/>
        </w:rPr>
        <w:t xml:space="preserve"> </w:t>
      </w:r>
      <w:r w:rsidR="007355CC" w:rsidRPr="007355CC">
        <w:rPr>
          <w:sz w:val="28"/>
          <w:szCs w:val="28"/>
        </w:rPr>
        <w:t>використання</w:t>
      </w:r>
      <w:r w:rsidR="00B6667F" w:rsidRPr="00B6667F">
        <w:rPr>
          <w:sz w:val="28"/>
          <w:szCs w:val="28"/>
        </w:rPr>
        <w:t xml:space="preserve"> </w:t>
      </w:r>
      <w:r w:rsidR="00B6667F" w:rsidRPr="00BD7984">
        <w:rPr>
          <w:sz w:val="28"/>
          <w:szCs w:val="28"/>
        </w:rPr>
        <w:t>кокс</w:t>
      </w:r>
      <w:r w:rsidR="00B6667F">
        <w:rPr>
          <w:sz w:val="28"/>
          <w:szCs w:val="28"/>
        </w:rPr>
        <w:t>у</w:t>
      </w:r>
      <w:r w:rsidR="00B6667F" w:rsidRPr="00BD7984">
        <w:rPr>
          <w:sz w:val="28"/>
          <w:szCs w:val="28"/>
        </w:rPr>
        <w:t xml:space="preserve"> і напівкокс</w:t>
      </w:r>
      <w:r w:rsidR="00B6667F">
        <w:rPr>
          <w:sz w:val="28"/>
          <w:szCs w:val="28"/>
        </w:rPr>
        <w:t>у</w:t>
      </w:r>
      <w:r w:rsidR="00140777" w:rsidRPr="00140777">
        <w:rPr>
          <w:sz w:val="28"/>
          <w:szCs w:val="28"/>
        </w:rPr>
        <w:t xml:space="preserve"> </w:t>
      </w:r>
      <w:r w:rsidR="00140777" w:rsidRPr="00C9131C">
        <w:rPr>
          <w:sz w:val="28"/>
          <w:szCs w:val="28"/>
        </w:rPr>
        <w:t>на</w:t>
      </w:r>
      <w:r w:rsidR="00B6667F">
        <w:rPr>
          <w:sz w:val="28"/>
          <w:szCs w:val="28"/>
        </w:rPr>
        <w:t xml:space="preserve"> 0,5</w:t>
      </w:r>
      <w:r w:rsidR="00B6667F" w:rsidRPr="00C9131C">
        <w:rPr>
          <w:sz w:val="28"/>
          <w:szCs w:val="28"/>
        </w:rPr>
        <w:t xml:space="preserve"> </w:t>
      </w:r>
      <w:proofErr w:type="spellStart"/>
      <w:r w:rsidR="00B6667F" w:rsidRPr="00C9131C">
        <w:rPr>
          <w:sz w:val="28"/>
          <w:szCs w:val="28"/>
        </w:rPr>
        <w:t>в.п</w:t>
      </w:r>
      <w:proofErr w:type="spellEnd"/>
      <w:r w:rsidR="00B6667F" w:rsidRPr="00C9131C">
        <w:rPr>
          <w:sz w:val="28"/>
          <w:szCs w:val="28"/>
        </w:rPr>
        <w:t>.</w:t>
      </w:r>
      <w:r w:rsidR="00B6667F">
        <w:rPr>
          <w:sz w:val="28"/>
          <w:szCs w:val="28"/>
        </w:rPr>
        <w:t>,</w:t>
      </w:r>
      <w:r w:rsidR="00C9131C">
        <w:rPr>
          <w:sz w:val="28"/>
          <w:szCs w:val="28"/>
        </w:rPr>
        <w:t xml:space="preserve"> </w:t>
      </w:r>
      <w:r w:rsidR="00B6667F" w:rsidRPr="007355CC">
        <w:rPr>
          <w:sz w:val="28"/>
          <w:szCs w:val="28"/>
        </w:rPr>
        <w:t>природного газу</w:t>
      </w:r>
      <w:r w:rsidR="00140777" w:rsidRPr="00140777">
        <w:rPr>
          <w:sz w:val="28"/>
          <w:szCs w:val="28"/>
        </w:rPr>
        <w:t xml:space="preserve"> </w:t>
      </w:r>
      <w:r w:rsidR="00140777" w:rsidRPr="00C9131C">
        <w:rPr>
          <w:sz w:val="28"/>
          <w:szCs w:val="28"/>
        </w:rPr>
        <w:t>на</w:t>
      </w:r>
      <w:r w:rsidR="00B6667F">
        <w:rPr>
          <w:sz w:val="28"/>
          <w:szCs w:val="28"/>
        </w:rPr>
        <w:t xml:space="preserve"> 0,4 </w:t>
      </w:r>
      <w:proofErr w:type="spellStart"/>
      <w:r w:rsidR="00B6667F">
        <w:rPr>
          <w:sz w:val="28"/>
          <w:szCs w:val="28"/>
        </w:rPr>
        <w:t>в.п</w:t>
      </w:r>
      <w:proofErr w:type="spellEnd"/>
      <w:r w:rsidR="00B6667F">
        <w:rPr>
          <w:sz w:val="28"/>
          <w:szCs w:val="28"/>
        </w:rPr>
        <w:t xml:space="preserve">. та </w:t>
      </w:r>
      <w:r w:rsidR="00C9131C">
        <w:rPr>
          <w:sz w:val="28"/>
          <w:szCs w:val="28"/>
        </w:rPr>
        <w:t xml:space="preserve">інших видів палива на 3,0 </w:t>
      </w:r>
      <w:proofErr w:type="spellStart"/>
      <w:r w:rsidR="00C9131C">
        <w:rPr>
          <w:sz w:val="28"/>
          <w:szCs w:val="28"/>
        </w:rPr>
        <w:t>в.п</w:t>
      </w:r>
      <w:proofErr w:type="spellEnd"/>
      <w:r w:rsidR="00C9131C">
        <w:rPr>
          <w:sz w:val="28"/>
          <w:szCs w:val="28"/>
        </w:rPr>
        <w:t>.</w:t>
      </w:r>
    </w:p>
    <w:p w:rsidR="002A5D68" w:rsidRPr="00BD7984" w:rsidRDefault="001607D2" w:rsidP="00121A85">
      <w:pPr>
        <w:pStyle w:val="1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У</w:t>
      </w:r>
      <w:r w:rsidR="007D08E7" w:rsidRPr="003C666C">
        <w:rPr>
          <w:sz w:val="28"/>
          <w:lang w:val="uk-UA"/>
        </w:rPr>
        <w:t xml:space="preserve"> р</w:t>
      </w:r>
      <w:r w:rsidR="002A5D68" w:rsidRPr="003C666C">
        <w:rPr>
          <w:sz w:val="28"/>
          <w:lang w:val="uk-UA"/>
        </w:rPr>
        <w:t>озподіл</w:t>
      </w:r>
      <w:r w:rsidR="007D08E7" w:rsidRPr="003C666C">
        <w:rPr>
          <w:sz w:val="28"/>
          <w:lang w:val="uk-UA"/>
        </w:rPr>
        <w:t>і</w:t>
      </w:r>
      <w:r w:rsidR="002A5D68" w:rsidRPr="00BD7984">
        <w:rPr>
          <w:sz w:val="28"/>
          <w:lang w:val="uk-UA"/>
        </w:rPr>
        <w:t xml:space="preserve"> </w:t>
      </w:r>
      <w:r w:rsidR="0027100E" w:rsidRPr="00BD7984">
        <w:rPr>
          <w:sz w:val="28"/>
          <w:lang w:val="uk-UA"/>
        </w:rPr>
        <w:t>палива за напрям</w:t>
      </w:r>
      <w:r w:rsidR="008F1523" w:rsidRPr="00BD7984">
        <w:rPr>
          <w:sz w:val="28"/>
          <w:lang w:val="uk-UA"/>
        </w:rPr>
        <w:t>ами споживання</w:t>
      </w:r>
      <w:r w:rsidR="00232A89" w:rsidRPr="00BD7984">
        <w:rPr>
          <w:sz w:val="28"/>
          <w:lang w:val="uk-UA"/>
        </w:rPr>
        <w:t xml:space="preserve"> </w:t>
      </w:r>
      <w:r w:rsidR="009B37B7" w:rsidRPr="00BD7984">
        <w:rPr>
          <w:sz w:val="28"/>
          <w:lang w:val="uk-UA"/>
        </w:rPr>
        <w:t>н</w:t>
      </w:r>
      <w:r w:rsidR="002A5D68" w:rsidRPr="00BD7984">
        <w:rPr>
          <w:sz w:val="28"/>
          <w:lang w:val="uk-UA"/>
        </w:rPr>
        <w:t>а перетворення в інші вид</w:t>
      </w:r>
      <w:r w:rsidR="00EE5067" w:rsidRPr="00BD7984">
        <w:rPr>
          <w:sz w:val="28"/>
          <w:lang w:val="uk-UA"/>
        </w:rPr>
        <w:t>и</w:t>
      </w:r>
      <w:r w:rsidR="00AA2078" w:rsidRPr="00BD7984">
        <w:rPr>
          <w:sz w:val="28"/>
          <w:lang w:val="uk-UA"/>
        </w:rPr>
        <w:t xml:space="preserve"> палива та енергію</w:t>
      </w:r>
      <w:r w:rsidR="009B37B7" w:rsidRPr="00BD7984">
        <w:rPr>
          <w:sz w:val="28"/>
          <w:lang w:val="uk-UA"/>
        </w:rPr>
        <w:t xml:space="preserve"> припад</w:t>
      </w:r>
      <w:r w:rsidR="00866DE0" w:rsidRPr="00BD7984">
        <w:rPr>
          <w:sz w:val="28"/>
          <w:lang w:val="uk-UA"/>
        </w:rPr>
        <w:t>ало</w:t>
      </w:r>
      <w:r w:rsidR="002932C6" w:rsidRPr="00BD7984">
        <w:rPr>
          <w:sz w:val="28"/>
          <w:lang w:val="uk-UA"/>
        </w:rPr>
        <w:t xml:space="preserve"> </w:t>
      </w:r>
      <w:r w:rsidR="003A4CD5" w:rsidRPr="00A21538">
        <w:rPr>
          <w:sz w:val="28"/>
          <w:lang w:val="uk-UA"/>
        </w:rPr>
        <w:t>5</w:t>
      </w:r>
      <w:r w:rsidR="00A21538" w:rsidRPr="00A21538">
        <w:rPr>
          <w:sz w:val="28"/>
          <w:lang w:val="uk-UA"/>
        </w:rPr>
        <w:t>1</w:t>
      </w:r>
      <w:r w:rsidR="00A71C65" w:rsidRPr="00A21538">
        <w:rPr>
          <w:sz w:val="28"/>
          <w:lang w:val="uk-UA"/>
        </w:rPr>
        <w:t>%</w:t>
      </w:r>
      <w:r w:rsidR="002A5D68" w:rsidRPr="00BD7984">
        <w:rPr>
          <w:sz w:val="28"/>
          <w:lang w:val="uk-UA"/>
        </w:rPr>
        <w:t>, на витрати в</w:t>
      </w:r>
      <w:r w:rsidR="006B4ADC" w:rsidRPr="00BD7984">
        <w:rPr>
          <w:sz w:val="28"/>
          <w:lang w:val="uk-UA"/>
        </w:rPr>
        <w:t xml:space="preserve"> цілях кінцевого споживання – </w:t>
      </w:r>
      <w:r w:rsidR="003C666C" w:rsidRPr="00A21538">
        <w:rPr>
          <w:sz w:val="28"/>
          <w:lang w:val="uk-UA"/>
        </w:rPr>
        <w:t>4</w:t>
      </w:r>
      <w:r w:rsidR="003A4CD5" w:rsidRPr="00A21538">
        <w:rPr>
          <w:sz w:val="28"/>
          <w:lang w:val="uk-UA"/>
        </w:rPr>
        <w:t>5</w:t>
      </w:r>
      <w:r w:rsidR="00A71C65" w:rsidRPr="00A21538">
        <w:rPr>
          <w:sz w:val="28"/>
          <w:lang w:val="uk-UA"/>
        </w:rPr>
        <w:t>%</w:t>
      </w:r>
      <w:r w:rsidR="006B4ADC" w:rsidRPr="00BD7984">
        <w:rPr>
          <w:sz w:val="28"/>
          <w:lang w:val="uk-UA"/>
        </w:rPr>
        <w:t xml:space="preserve">, на неенергетичні потреби – </w:t>
      </w:r>
      <w:r w:rsidR="00A21538" w:rsidRPr="00A21538">
        <w:rPr>
          <w:sz w:val="28"/>
          <w:lang w:val="uk-UA"/>
        </w:rPr>
        <w:t>3</w:t>
      </w:r>
      <w:r w:rsidR="00A71C65" w:rsidRPr="00A21538">
        <w:rPr>
          <w:sz w:val="28"/>
          <w:lang w:val="uk-UA"/>
        </w:rPr>
        <w:t>%</w:t>
      </w:r>
      <w:r w:rsidR="002A5D68" w:rsidRPr="00BD7984">
        <w:rPr>
          <w:sz w:val="28"/>
          <w:lang w:val="uk-UA"/>
        </w:rPr>
        <w:t>, втрати при розподілі, тран</w:t>
      </w:r>
      <w:r w:rsidR="00685015" w:rsidRPr="00BD7984">
        <w:rPr>
          <w:sz w:val="28"/>
          <w:lang w:val="uk-UA"/>
        </w:rPr>
        <w:t xml:space="preserve">спортуванні та зберіганні </w:t>
      </w:r>
      <w:r w:rsidR="002932C6" w:rsidRPr="00BD7984">
        <w:rPr>
          <w:sz w:val="28"/>
          <w:lang w:val="uk-UA"/>
        </w:rPr>
        <w:t xml:space="preserve">склали </w:t>
      </w:r>
      <w:r w:rsidR="00B33494" w:rsidRPr="00BD7984">
        <w:rPr>
          <w:sz w:val="28"/>
          <w:lang w:val="uk-UA"/>
        </w:rPr>
        <w:t>м</w:t>
      </w:r>
      <w:r w:rsidR="003C666C">
        <w:rPr>
          <w:sz w:val="28"/>
          <w:lang w:val="uk-UA"/>
        </w:rPr>
        <w:t>айж</w:t>
      </w:r>
      <w:r w:rsidR="00B33494" w:rsidRPr="00BD7984">
        <w:rPr>
          <w:sz w:val="28"/>
          <w:lang w:val="uk-UA"/>
        </w:rPr>
        <w:t xml:space="preserve">е </w:t>
      </w:r>
      <w:r w:rsidR="00B33494" w:rsidRPr="00A21538">
        <w:rPr>
          <w:sz w:val="28"/>
          <w:lang w:val="uk-UA"/>
        </w:rPr>
        <w:t>1%</w:t>
      </w:r>
      <w:r w:rsidR="00FE6D9D" w:rsidRPr="00BD7984">
        <w:rPr>
          <w:sz w:val="28"/>
          <w:lang w:val="uk-UA"/>
        </w:rPr>
        <w:t xml:space="preserve">. </w:t>
      </w:r>
      <w:r w:rsidR="00232A89" w:rsidRPr="00BD7984">
        <w:rPr>
          <w:sz w:val="28"/>
          <w:lang w:val="uk-UA"/>
        </w:rPr>
        <w:t xml:space="preserve"> </w:t>
      </w:r>
    </w:p>
    <w:p w:rsidR="002A5D68" w:rsidRPr="00BD7984" w:rsidRDefault="002A5D68" w:rsidP="0074634C">
      <w:pPr>
        <w:pStyle w:val="1"/>
        <w:ind w:firstLine="709"/>
        <w:jc w:val="both"/>
        <w:rPr>
          <w:color w:val="000000"/>
          <w:sz w:val="28"/>
          <w:lang w:val="uk-UA"/>
        </w:rPr>
      </w:pPr>
      <w:r w:rsidRPr="00BD7984">
        <w:rPr>
          <w:color w:val="000000"/>
          <w:sz w:val="28"/>
          <w:lang w:val="uk-UA"/>
        </w:rPr>
        <w:t xml:space="preserve">Основна частка у структурі витрат палива на перетворення припадала на вугілля </w:t>
      </w:r>
      <w:r w:rsidRPr="005A4B66">
        <w:rPr>
          <w:color w:val="000000"/>
          <w:sz w:val="28"/>
          <w:lang w:val="uk-UA"/>
        </w:rPr>
        <w:t xml:space="preserve">– </w:t>
      </w:r>
      <w:r w:rsidR="005A4B66" w:rsidRPr="005A4B66">
        <w:rPr>
          <w:color w:val="000000"/>
          <w:sz w:val="28"/>
          <w:lang w:val="uk-UA"/>
        </w:rPr>
        <w:t>57</w:t>
      </w:r>
      <w:r w:rsidRPr="005A4B66">
        <w:rPr>
          <w:color w:val="000000"/>
          <w:sz w:val="28"/>
          <w:lang w:val="uk-UA"/>
        </w:rPr>
        <w:t>%</w:t>
      </w:r>
      <w:r w:rsidRPr="00BD7984">
        <w:rPr>
          <w:color w:val="000000"/>
          <w:sz w:val="28"/>
          <w:lang w:val="uk-UA"/>
        </w:rPr>
        <w:t xml:space="preserve">, </w:t>
      </w:r>
      <w:r w:rsidR="00D80BAE" w:rsidRPr="00BD7984">
        <w:rPr>
          <w:color w:val="000000"/>
          <w:sz w:val="28"/>
          <w:lang w:val="uk-UA"/>
        </w:rPr>
        <w:t>природний</w:t>
      </w:r>
      <w:r w:rsidR="00D80BAE" w:rsidRPr="005A4B66">
        <w:rPr>
          <w:color w:val="000000"/>
          <w:sz w:val="28"/>
          <w:lang w:val="uk-UA"/>
        </w:rPr>
        <w:t xml:space="preserve"> </w:t>
      </w:r>
      <w:r w:rsidR="00D80BAE" w:rsidRPr="00BD7984">
        <w:rPr>
          <w:color w:val="000000"/>
          <w:sz w:val="28"/>
          <w:lang w:val="uk-UA"/>
        </w:rPr>
        <w:t>газ</w:t>
      </w:r>
      <w:r w:rsidR="00D80BAE" w:rsidRPr="005A4B66">
        <w:rPr>
          <w:color w:val="000000"/>
          <w:sz w:val="28"/>
          <w:lang w:val="uk-UA"/>
        </w:rPr>
        <w:t xml:space="preserve"> </w:t>
      </w:r>
      <w:r w:rsidRPr="005A4B66">
        <w:rPr>
          <w:color w:val="000000"/>
          <w:sz w:val="28"/>
          <w:lang w:val="uk-UA"/>
        </w:rPr>
        <w:t>–</w:t>
      </w:r>
      <w:r w:rsidR="00384557" w:rsidRPr="00BD7984">
        <w:rPr>
          <w:color w:val="000000"/>
          <w:sz w:val="28"/>
          <w:lang w:val="uk-UA"/>
        </w:rPr>
        <w:t xml:space="preserve"> </w:t>
      </w:r>
      <w:r w:rsidR="004027FA" w:rsidRPr="005A4B66">
        <w:rPr>
          <w:color w:val="000000"/>
          <w:sz w:val="28"/>
          <w:lang w:val="uk-UA"/>
        </w:rPr>
        <w:t>2</w:t>
      </w:r>
      <w:r w:rsidR="005A4B66" w:rsidRPr="005A4B66">
        <w:rPr>
          <w:color w:val="000000"/>
          <w:sz w:val="28"/>
          <w:lang w:val="uk-UA"/>
        </w:rPr>
        <w:t>2</w:t>
      </w:r>
      <w:r w:rsidRPr="005A4B66">
        <w:rPr>
          <w:color w:val="000000"/>
          <w:sz w:val="28"/>
          <w:lang w:val="uk-UA"/>
        </w:rPr>
        <w:t>%</w:t>
      </w:r>
      <w:r w:rsidRPr="00BD7984">
        <w:rPr>
          <w:color w:val="000000"/>
          <w:sz w:val="28"/>
          <w:lang w:val="uk-UA"/>
        </w:rPr>
        <w:t xml:space="preserve"> (у 20</w:t>
      </w:r>
      <w:r w:rsidR="003E409E" w:rsidRPr="00BD7984">
        <w:rPr>
          <w:color w:val="000000"/>
          <w:sz w:val="28"/>
          <w:lang w:val="uk-UA"/>
        </w:rPr>
        <w:t>1</w:t>
      </w:r>
      <w:r w:rsidR="00524FE9">
        <w:rPr>
          <w:color w:val="000000"/>
          <w:sz w:val="28"/>
          <w:lang w:val="uk-UA"/>
        </w:rPr>
        <w:t>5</w:t>
      </w:r>
      <w:r w:rsidR="00B31C92" w:rsidRPr="00BD7984">
        <w:rPr>
          <w:color w:val="000000"/>
          <w:sz w:val="28"/>
          <w:lang w:val="uk-UA"/>
        </w:rPr>
        <w:t xml:space="preserve">р. – </w:t>
      </w:r>
      <w:r w:rsidR="000B7B2F">
        <w:rPr>
          <w:color w:val="000000"/>
          <w:sz w:val="28"/>
          <w:lang w:val="uk-UA"/>
        </w:rPr>
        <w:t xml:space="preserve">відповідно </w:t>
      </w:r>
      <w:r w:rsidR="00524FE9" w:rsidRPr="00524FE9">
        <w:rPr>
          <w:color w:val="000000"/>
          <w:sz w:val="28"/>
          <w:lang w:val="uk-UA"/>
        </w:rPr>
        <w:t>71</w:t>
      </w:r>
      <w:r w:rsidR="002932C6" w:rsidRPr="00524FE9">
        <w:rPr>
          <w:color w:val="000000"/>
          <w:sz w:val="28"/>
          <w:lang w:val="uk-UA"/>
        </w:rPr>
        <w:t>%</w:t>
      </w:r>
      <w:r w:rsidR="00893A81">
        <w:rPr>
          <w:color w:val="000000"/>
          <w:sz w:val="28"/>
          <w:lang w:val="uk-UA"/>
        </w:rPr>
        <w:t xml:space="preserve"> та</w:t>
      </w:r>
      <w:r w:rsidR="00B31C92" w:rsidRPr="00BD7984">
        <w:rPr>
          <w:color w:val="000000"/>
          <w:sz w:val="28"/>
          <w:lang w:val="uk-UA"/>
        </w:rPr>
        <w:t xml:space="preserve"> </w:t>
      </w:r>
      <w:r w:rsidR="00524FE9" w:rsidRPr="00524FE9">
        <w:rPr>
          <w:color w:val="000000"/>
          <w:sz w:val="28"/>
          <w:lang w:val="uk-UA"/>
        </w:rPr>
        <w:t>20</w:t>
      </w:r>
      <w:r w:rsidR="00B31C92" w:rsidRPr="00524FE9">
        <w:rPr>
          <w:color w:val="000000"/>
          <w:sz w:val="28"/>
          <w:lang w:val="uk-UA"/>
        </w:rPr>
        <w:t>%</w:t>
      </w:r>
      <w:r w:rsidRPr="00BD7984">
        <w:rPr>
          <w:color w:val="000000"/>
          <w:sz w:val="28"/>
          <w:lang w:val="uk-UA"/>
        </w:rPr>
        <w:t xml:space="preserve">). </w:t>
      </w:r>
    </w:p>
    <w:p w:rsidR="000B7B2F" w:rsidRDefault="00384557" w:rsidP="000C56B2">
      <w:pPr>
        <w:pStyle w:val="1"/>
        <w:ind w:firstLine="720"/>
        <w:jc w:val="both"/>
        <w:rPr>
          <w:sz w:val="28"/>
          <w:szCs w:val="28"/>
          <w:lang w:val="uk-UA"/>
        </w:rPr>
      </w:pPr>
      <w:r w:rsidRPr="00E0268B">
        <w:rPr>
          <w:sz w:val="28"/>
          <w:szCs w:val="28"/>
          <w:lang w:val="uk-UA"/>
        </w:rPr>
        <w:t>У 20</w:t>
      </w:r>
      <w:r w:rsidR="00254717" w:rsidRPr="00E0268B">
        <w:rPr>
          <w:sz w:val="28"/>
          <w:szCs w:val="28"/>
          <w:lang w:val="uk-UA"/>
        </w:rPr>
        <w:t>1</w:t>
      </w:r>
      <w:r w:rsidR="00196A95">
        <w:rPr>
          <w:sz w:val="28"/>
          <w:szCs w:val="28"/>
          <w:lang w:val="uk-UA"/>
        </w:rPr>
        <w:t>6</w:t>
      </w:r>
      <w:r w:rsidR="0028220E" w:rsidRPr="00E0268B">
        <w:rPr>
          <w:sz w:val="28"/>
          <w:szCs w:val="28"/>
          <w:lang w:val="uk-UA"/>
        </w:rPr>
        <w:t>р.</w:t>
      </w:r>
      <w:r w:rsidR="006338C9" w:rsidRPr="006338C9">
        <w:rPr>
          <w:sz w:val="28"/>
          <w:szCs w:val="28"/>
          <w:lang w:val="uk-UA"/>
        </w:rPr>
        <w:t xml:space="preserve"> </w:t>
      </w:r>
      <w:r w:rsidR="006338C9">
        <w:rPr>
          <w:sz w:val="28"/>
          <w:szCs w:val="28"/>
          <w:lang w:val="uk-UA"/>
        </w:rPr>
        <w:t>збільшил</w:t>
      </w:r>
      <w:r w:rsidR="0028220E" w:rsidRPr="00E0268B">
        <w:rPr>
          <w:sz w:val="28"/>
          <w:szCs w:val="28"/>
          <w:lang w:val="uk-UA"/>
        </w:rPr>
        <w:t>ися</w:t>
      </w:r>
      <w:r w:rsidR="0028220E" w:rsidRPr="00BD7984">
        <w:rPr>
          <w:sz w:val="28"/>
          <w:szCs w:val="28"/>
          <w:lang w:val="uk-UA"/>
        </w:rPr>
        <w:t xml:space="preserve"> порівняно з</w:t>
      </w:r>
      <w:r w:rsidR="00594F90" w:rsidRPr="00BD7984">
        <w:rPr>
          <w:sz w:val="28"/>
          <w:szCs w:val="28"/>
          <w:lang w:val="uk-UA"/>
        </w:rPr>
        <w:t xml:space="preserve"> попереднім роком </w:t>
      </w:r>
      <w:r w:rsidR="009B1CC2" w:rsidRPr="00BD7984">
        <w:rPr>
          <w:sz w:val="28"/>
          <w:szCs w:val="28"/>
          <w:lang w:val="uk-UA"/>
        </w:rPr>
        <w:t>обсяги використання</w:t>
      </w:r>
      <w:r w:rsidR="00B7147C" w:rsidRPr="00BD7984">
        <w:rPr>
          <w:sz w:val="28"/>
          <w:szCs w:val="28"/>
          <w:lang w:val="uk-UA"/>
        </w:rPr>
        <w:t xml:space="preserve"> </w:t>
      </w:r>
      <w:r w:rsidR="002A3457">
        <w:rPr>
          <w:sz w:val="28"/>
          <w:szCs w:val="28"/>
          <w:lang w:val="uk-UA"/>
        </w:rPr>
        <w:t xml:space="preserve">вугілля </w:t>
      </w:r>
      <w:r w:rsidR="00524FE9">
        <w:rPr>
          <w:sz w:val="28"/>
          <w:szCs w:val="28"/>
          <w:lang w:val="uk-UA"/>
        </w:rPr>
        <w:t>та</w:t>
      </w:r>
      <w:r w:rsidR="00E0268B">
        <w:rPr>
          <w:sz w:val="28"/>
          <w:szCs w:val="28"/>
          <w:lang w:val="uk-UA"/>
        </w:rPr>
        <w:t xml:space="preserve"> </w:t>
      </w:r>
      <w:r w:rsidR="007355CC" w:rsidRPr="00A9224A">
        <w:rPr>
          <w:sz w:val="28"/>
          <w:szCs w:val="28"/>
          <w:lang w:val="uk-UA"/>
        </w:rPr>
        <w:t xml:space="preserve">нафтопродуктів </w:t>
      </w:r>
      <w:r w:rsidR="00140777">
        <w:rPr>
          <w:sz w:val="28"/>
          <w:szCs w:val="28"/>
          <w:lang w:val="uk-UA"/>
        </w:rPr>
        <w:t>відповідно</w:t>
      </w:r>
      <w:r w:rsidR="007355CC" w:rsidRPr="00A9224A">
        <w:rPr>
          <w:sz w:val="28"/>
          <w:szCs w:val="28"/>
          <w:lang w:val="uk-UA"/>
        </w:rPr>
        <w:t xml:space="preserve"> на </w:t>
      </w:r>
      <w:r w:rsidR="00524FE9">
        <w:rPr>
          <w:sz w:val="28"/>
          <w:szCs w:val="28"/>
          <w:lang w:val="uk-UA"/>
        </w:rPr>
        <w:t>7</w:t>
      </w:r>
      <w:r w:rsidR="007355CC" w:rsidRPr="00A9224A">
        <w:rPr>
          <w:sz w:val="28"/>
          <w:szCs w:val="28"/>
          <w:lang w:val="uk-UA"/>
        </w:rPr>
        <w:t>%</w:t>
      </w:r>
      <w:r w:rsidR="00524FE9">
        <w:rPr>
          <w:sz w:val="28"/>
          <w:szCs w:val="28"/>
          <w:lang w:val="uk-UA"/>
        </w:rPr>
        <w:t>;</w:t>
      </w:r>
      <w:r w:rsidR="00140777">
        <w:rPr>
          <w:sz w:val="28"/>
          <w:szCs w:val="28"/>
          <w:lang w:val="uk-UA"/>
        </w:rPr>
        <w:t xml:space="preserve"> зокрема</w:t>
      </w:r>
      <w:r w:rsidR="005F678A" w:rsidRPr="00A9224A">
        <w:rPr>
          <w:sz w:val="28"/>
          <w:szCs w:val="28"/>
          <w:lang w:val="uk-UA"/>
        </w:rPr>
        <w:t xml:space="preserve"> </w:t>
      </w:r>
      <w:r w:rsidR="00524FE9">
        <w:rPr>
          <w:sz w:val="28"/>
          <w:szCs w:val="28"/>
          <w:lang w:val="uk-UA"/>
        </w:rPr>
        <w:t>з</w:t>
      </w:r>
      <w:r w:rsidR="005F678A" w:rsidRPr="00A9224A">
        <w:rPr>
          <w:sz w:val="28"/>
          <w:szCs w:val="28"/>
          <w:lang w:val="uk-UA"/>
        </w:rPr>
        <w:t xml:space="preserve"> </w:t>
      </w:r>
      <w:r w:rsidR="00524FE9" w:rsidRPr="00A9224A">
        <w:rPr>
          <w:sz w:val="28"/>
          <w:szCs w:val="28"/>
          <w:lang w:val="uk-UA"/>
        </w:rPr>
        <w:t>нафтопродуктів</w:t>
      </w:r>
      <w:r w:rsidR="005F678A" w:rsidRPr="00A9224A">
        <w:rPr>
          <w:sz w:val="28"/>
          <w:szCs w:val="28"/>
          <w:lang w:val="uk-UA"/>
        </w:rPr>
        <w:t>:</w:t>
      </w:r>
      <w:r w:rsidR="00E0268B" w:rsidRPr="00A9224A">
        <w:rPr>
          <w:sz w:val="28"/>
          <w:szCs w:val="28"/>
          <w:lang w:val="uk-UA"/>
        </w:rPr>
        <w:t xml:space="preserve"> </w:t>
      </w:r>
      <w:r w:rsidR="00524FE9">
        <w:rPr>
          <w:sz w:val="28"/>
          <w:szCs w:val="28"/>
          <w:lang w:val="uk-UA"/>
        </w:rPr>
        <w:t>бензину авіаційного</w:t>
      </w:r>
      <w:r w:rsidR="001607D2">
        <w:rPr>
          <w:sz w:val="28"/>
          <w:szCs w:val="28"/>
          <w:lang w:val="uk-UA"/>
        </w:rPr>
        <w:t xml:space="preserve"> </w:t>
      </w:r>
      <w:r w:rsidR="001607D2" w:rsidRPr="005A4B66">
        <w:rPr>
          <w:color w:val="000000"/>
          <w:sz w:val="28"/>
          <w:lang w:val="uk-UA"/>
        </w:rPr>
        <w:t>–</w:t>
      </w:r>
      <w:r w:rsidR="00524FE9">
        <w:rPr>
          <w:sz w:val="28"/>
          <w:szCs w:val="28"/>
          <w:lang w:val="uk-UA"/>
        </w:rPr>
        <w:t xml:space="preserve"> майже</w:t>
      </w:r>
      <w:r w:rsidR="00140777">
        <w:rPr>
          <w:sz w:val="28"/>
          <w:szCs w:val="28"/>
          <w:lang w:val="uk-UA"/>
        </w:rPr>
        <w:t xml:space="preserve"> в</w:t>
      </w:r>
      <w:r w:rsidR="00524FE9">
        <w:rPr>
          <w:sz w:val="28"/>
          <w:szCs w:val="28"/>
          <w:lang w:val="uk-UA"/>
        </w:rPr>
        <w:t xml:space="preserve"> 5 разів,</w:t>
      </w:r>
      <w:r w:rsidR="00524FE9" w:rsidRPr="00524FE9">
        <w:rPr>
          <w:sz w:val="28"/>
          <w:szCs w:val="28"/>
          <w:lang w:val="uk-UA"/>
        </w:rPr>
        <w:t xml:space="preserve"> </w:t>
      </w:r>
      <w:r w:rsidR="00524FE9" w:rsidRPr="00A9224A">
        <w:rPr>
          <w:sz w:val="28"/>
          <w:szCs w:val="28"/>
          <w:lang w:val="uk-UA"/>
        </w:rPr>
        <w:t xml:space="preserve">мазутів паливних важких – </w:t>
      </w:r>
      <w:r w:rsidR="00524FE9">
        <w:rPr>
          <w:sz w:val="28"/>
          <w:szCs w:val="28"/>
          <w:lang w:val="uk-UA"/>
        </w:rPr>
        <w:t>на</w:t>
      </w:r>
      <w:r w:rsidR="00524FE9" w:rsidRPr="00A9224A">
        <w:rPr>
          <w:sz w:val="28"/>
          <w:szCs w:val="28"/>
          <w:lang w:val="uk-UA"/>
        </w:rPr>
        <w:t xml:space="preserve"> </w:t>
      </w:r>
      <w:r w:rsidR="00524FE9">
        <w:rPr>
          <w:sz w:val="28"/>
          <w:szCs w:val="28"/>
          <w:lang w:val="uk-UA"/>
        </w:rPr>
        <w:t>82%</w:t>
      </w:r>
      <w:r w:rsidR="00524FE9" w:rsidRPr="00A9224A">
        <w:rPr>
          <w:sz w:val="28"/>
          <w:szCs w:val="28"/>
          <w:lang w:val="uk-UA"/>
        </w:rPr>
        <w:t>,</w:t>
      </w:r>
      <w:r w:rsidR="00524FE9">
        <w:rPr>
          <w:sz w:val="28"/>
          <w:szCs w:val="28"/>
          <w:lang w:val="uk-UA"/>
        </w:rPr>
        <w:t xml:space="preserve"> </w:t>
      </w:r>
      <w:r w:rsidR="00524FE9" w:rsidRPr="00A9224A">
        <w:rPr>
          <w:sz w:val="28"/>
          <w:szCs w:val="28"/>
          <w:lang w:val="uk-UA"/>
        </w:rPr>
        <w:t xml:space="preserve">бітуму нафтового – на </w:t>
      </w:r>
      <w:r w:rsidR="00524FE9">
        <w:rPr>
          <w:sz w:val="28"/>
          <w:szCs w:val="28"/>
          <w:lang w:val="uk-UA"/>
        </w:rPr>
        <w:t>53</w:t>
      </w:r>
      <w:r w:rsidR="00524FE9" w:rsidRPr="00A9224A">
        <w:rPr>
          <w:sz w:val="28"/>
          <w:szCs w:val="28"/>
          <w:lang w:val="uk-UA"/>
        </w:rPr>
        <w:t>%</w:t>
      </w:r>
      <w:r w:rsidR="00A9224A" w:rsidRPr="00A9224A">
        <w:rPr>
          <w:sz w:val="28"/>
          <w:szCs w:val="28"/>
          <w:lang w:val="uk-UA"/>
        </w:rPr>
        <w:t xml:space="preserve">, водночас </w:t>
      </w:r>
      <w:r w:rsidR="006338C9" w:rsidRPr="00E0268B">
        <w:rPr>
          <w:sz w:val="28"/>
          <w:szCs w:val="28"/>
          <w:lang w:val="uk-UA"/>
        </w:rPr>
        <w:t>змен</w:t>
      </w:r>
      <w:r w:rsidR="006338C9">
        <w:rPr>
          <w:sz w:val="28"/>
          <w:szCs w:val="28"/>
          <w:lang w:val="uk-UA"/>
        </w:rPr>
        <w:t>шил</w:t>
      </w:r>
      <w:r w:rsidR="00A9224A" w:rsidRPr="00A9224A">
        <w:rPr>
          <w:sz w:val="28"/>
          <w:szCs w:val="28"/>
          <w:lang w:val="uk-UA"/>
        </w:rPr>
        <w:t>ося використання</w:t>
      </w:r>
      <w:r w:rsidR="00524FE9">
        <w:rPr>
          <w:sz w:val="28"/>
          <w:szCs w:val="28"/>
          <w:lang w:val="uk-UA"/>
        </w:rPr>
        <w:t xml:space="preserve"> фракцій легких </w:t>
      </w:r>
      <w:r w:rsidR="00140777">
        <w:rPr>
          <w:sz w:val="28"/>
          <w:szCs w:val="28"/>
          <w:lang w:val="uk-UA"/>
        </w:rPr>
        <w:t xml:space="preserve">                   </w:t>
      </w:r>
      <w:r w:rsidR="00524FE9">
        <w:rPr>
          <w:sz w:val="28"/>
          <w:szCs w:val="28"/>
          <w:lang w:val="uk-UA"/>
        </w:rPr>
        <w:t xml:space="preserve">інших </w:t>
      </w:r>
      <w:r w:rsidR="00524FE9" w:rsidRPr="00A9224A">
        <w:rPr>
          <w:sz w:val="28"/>
          <w:szCs w:val="28"/>
          <w:lang w:val="uk-UA"/>
        </w:rPr>
        <w:t>–</w:t>
      </w:r>
      <w:r w:rsidR="00524FE9">
        <w:rPr>
          <w:sz w:val="28"/>
          <w:szCs w:val="28"/>
          <w:lang w:val="uk-UA"/>
        </w:rPr>
        <w:t xml:space="preserve"> на 17%, </w:t>
      </w:r>
      <w:r w:rsidR="00524FE9" w:rsidRPr="00A9224A">
        <w:rPr>
          <w:sz w:val="28"/>
          <w:szCs w:val="28"/>
          <w:lang w:val="uk-UA"/>
        </w:rPr>
        <w:t xml:space="preserve">бензину моторного – на </w:t>
      </w:r>
      <w:r w:rsidR="00524FE9">
        <w:rPr>
          <w:sz w:val="28"/>
          <w:szCs w:val="28"/>
          <w:lang w:val="uk-UA"/>
        </w:rPr>
        <w:t>6</w:t>
      </w:r>
      <w:r w:rsidR="00524FE9" w:rsidRPr="00A9224A">
        <w:rPr>
          <w:sz w:val="28"/>
          <w:szCs w:val="28"/>
          <w:lang w:val="uk-UA"/>
        </w:rPr>
        <w:t>%</w:t>
      </w:r>
      <w:r w:rsidR="00524FE9">
        <w:rPr>
          <w:sz w:val="28"/>
          <w:szCs w:val="28"/>
          <w:lang w:val="uk-UA"/>
        </w:rPr>
        <w:t>,</w:t>
      </w:r>
      <w:r w:rsidR="00524FE9" w:rsidRPr="00140777">
        <w:rPr>
          <w:sz w:val="28"/>
          <w:szCs w:val="28"/>
          <w:lang w:val="uk-UA"/>
        </w:rPr>
        <w:t xml:space="preserve"> олив та мастил нафтових</w:t>
      </w:r>
      <w:r w:rsidR="00524FE9">
        <w:rPr>
          <w:sz w:val="28"/>
          <w:szCs w:val="28"/>
          <w:lang w:val="uk-UA"/>
        </w:rPr>
        <w:t xml:space="preserve"> </w:t>
      </w:r>
      <w:r w:rsidR="00524FE9" w:rsidRPr="00A9224A">
        <w:rPr>
          <w:sz w:val="28"/>
          <w:szCs w:val="28"/>
          <w:lang w:val="uk-UA"/>
        </w:rPr>
        <w:t xml:space="preserve">– на </w:t>
      </w:r>
      <w:r w:rsidR="00524FE9">
        <w:rPr>
          <w:sz w:val="28"/>
          <w:szCs w:val="28"/>
          <w:lang w:val="uk-UA"/>
        </w:rPr>
        <w:t>2</w:t>
      </w:r>
      <w:r w:rsidR="00524FE9" w:rsidRPr="00A9224A">
        <w:rPr>
          <w:sz w:val="28"/>
          <w:szCs w:val="28"/>
          <w:lang w:val="uk-UA"/>
        </w:rPr>
        <w:t>%</w:t>
      </w:r>
      <w:r w:rsidR="00E0268B" w:rsidRPr="00A9224A">
        <w:rPr>
          <w:sz w:val="28"/>
          <w:szCs w:val="28"/>
          <w:lang w:val="uk-UA"/>
        </w:rPr>
        <w:t>.</w:t>
      </w:r>
    </w:p>
    <w:p w:rsidR="00A9224A" w:rsidRDefault="000B7B2F" w:rsidP="0075539C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  <w:r w:rsidRPr="00BD7984">
        <w:rPr>
          <w:sz w:val="28"/>
          <w:szCs w:val="28"/>
        </w:rPr>
        <w:t xml:space="preserve">Основними споживачами природного газу були підприємства та </w:t>
      </w:r>
      <w:r w:rsidR="00A9224A" w:rsidRPr="00BD7984">
        <w:rPr>
          <w:sz w:val="28"/>
          <w:szCs w:val="28"/>
        </w:rPr>
        <w:t xml:space="preserve">організації </w:t>
      </w:r>
      <w:r w:rsidR="00940277">
        <w:rPr>
          <w:sz w:val="28"/>
          <w:szCs w:val="28"/>
        </w:rPr>
        <w:t>9</w:t>
      </w:r>
      <w:r w:rsidR="00A9224A" w:rsidRPr="00C505CD">
        <w:rPr>
          <w:sz w:val="28"/>
          <w:szCs w:val="28"/>
        </w:rPr>
        <w:t xml:space="preserve"> регіонів</w:t>
      </w:r>
      <w:r w:rsidR="00A9224A" w:rsidRPr="00BD7984">
        <w:rPr>
          <w:sz w:val="28"/>
          <w:szCs w:val="28"/>
        </w:rPr>
        <w:t>, обсяги використання яких</w:t>
      </w:r>
      <w:r w:rsidR="00A9224A">
        <w:rPr>
          <w:sz w:val="28"/>
          <w:szCs w:val="28"/>
        </w:rPr>
        <w:t xml:space="preserve"> </w:t>
      </w:r>
      <w:r w:rsidR="00A9224A" w:rsidRPr="00BD7984">
        <w:rPr>
          <w:sz w:val="28"/>
        </w:rPr>
        <w:t xml:space="preserve">(з урахуванням обсягів </w:t>
      </w:r>
      <w:r w:rsidR="00A9224A" w:rsidRPr="00496259">
        <w:rPr>
          <w:sz w:val="28"/>
        </w:rPr>
        <w:t>реалізації населенню)</w:t>
      </w:r>
      <w:r w:rsidR="00A9224A" w:rsidRPr="00496259">
        <w:rPr>
          <w:sz w:val="28"/>
          <w:szCs w:val="28"/>
        </w:rPr>
        <w:t xml:space="preserve"> становили 6</w:t>
      </w:r>
      <w:r w:rsidR="00940277">
        <w:rPr>
          <w:sz w:val="28"/>
          <w:szCs w:val="28"/>
        </w:rPr>
        <w:t>6</w:t>
      </w:r>
      <w:r w:rsidR="00A9224A" w:rsidRPr="00496259">
        <w:rPr>
          <w:sz w:val="28"/>
          <w:szCs w:val="28"/>
        </w:rPr>
        <w:t>% від загальних</w:t>
      </w:r>
      <w:r w:rsidR="003A4CD5">
        <w:rPr>
          <w:sz w:val="28"/>
          <w:szCs w:val="28"/>
        </w:rPr>
        <w:t xml:space="preserve"> обсягів</w:t>
      </w:r>
      <w:r w:rsidR="00A9224A" w:rsidRPr="00496259">
        <w:rPr>
          <w:sz w:val="28"/>
          <w:szCs w:val="28"/>
        </w:rPr>
        <w:t xml:space="preserve"> по </w:t>
      </w:r>
      <w:r w:rsidR="00A9224A" w:rsidRPr="00121A85">
        <w:rPr>
          <w:sz w:val="28"/>
          <w:szCs w:val="28"/>
        </w:rPr>
        <w:t>Україні.</w:t>
      </w:r>
    </w:p>
    <w:p w:rsidR="00ED494B" w:rsidRPr="00940277" w:rsidRDefault="00EF12CB" w:rsidP="00CC0523">
      <w:pPr>
        <w:pStyle w:val="1"/>
        <w:jc w:val="both"/>
        <w:rPr>
          <w:lang w:val="uk-UA"/>
        </w:rPr>
      </w:pPr>
      <w:r w:rsidRPr="00940277">
        <w:rPr>
          <w:noProof/>
          <w:snapToGrid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9525</wp:posOffset>
                </wp:positionV>
                <wp:extent cx="25527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5831BC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.75pt" to="199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" strokecolor="black [3213]" strokeweight=".5pt">
                <v:stroke joinstyle="miter"/>
              </v:line>
            </w:pict>
          </mc:Fallback>
        </mc:AlternateContent>
      </w:r>
      <w:r w:rsidR="00496259" w:rsidRPr="00940277">
        <w:rPr>
          <w:vertAlign w:val="superscript"/>
          <w:lang w:val="uk-UA"/>
        </w:rPr>
        <w:t>1</w:t>
      </w:r>
      <w:r w:rsidRPr="00940277">
        <w:rPr>
          <w:vertAlign w:val="superscript"/>
          <w:lang w:val="uk-UA"/>
        </w:rPr>
        <w:t xml:space="preserve"> </w:t>
      </w:r>
      <w:r w:rsidR="00496259" w:rsidRPr="00940277">
        <w:rPr>
          <w:lang w:val="uk-UA"/>
        </w:rPr>
        <w:t>Б</w:t>
      </w:r>
      <w:proofErr w:type="spellStart"/>
      <w:r w:rsidR="00496259" w:rsidRPr="00940277">
        <w:t>ез</w:t>
      </w:r>
      <w:proofErr w:type="spellEnd"/>
      <w:r w:rsidR="00496259" w:rsidRPr="00940277">
        <w:t xml:space="preserve"> </w:t>
      </w:r>
      <w:proofErr w:type="spellStart"/>
      <w:r w:rsidR="00496259" w:rsidRPr="00940277">
        <w:t>урахування</w:t>
      </w:r>
      <w:proofErr w:type="spellEnd"/>
      <w:r w:rsidR="00496259" w:rsidRPr="00940277">
        <w:t xml:space="preserve"> </w:t>
      </w:r>
      <w:r w:rsidR="00CC0523" w:rsidRPr="00940277">
        <w:t xml:space="preserve"> </w:t>
      </w:r>
      <w:proofErr w:type="spellStart"/>
      <w:r w:rsidR="00496259" w:rsidRPr="00940277">
        <w:t>тимчасово</w:t>
      </w:r>
      <w:proofErr w:type="spellEnd"/>
      <w:r w:rsidR="00496259" w:rsidRPr="00940277">
        <w:t xml:space="preserve"> </w:t>
      </w:r>
      <w:r w:rsidR="00CC0523" w:rsidRPr="00940277">
        <w:t xml:space="preserve"> </w:t>
      </w:r>
      <w:proofErr w:type="spellStart"/>
      <w:r w:rsidR="00496259" w:rsidRPr="00940277">
        <w:t>окупованої</w:t>
      </w:r>
      <w:proofErr w:type="spellEnd"/>
      <w:r w:rsidR="00496259" w:rsidRPr="00940277">
        <w:t xml:space="preserve"> </w:t>
      </w:r>
      <w:r w:rsidR="00CC0523" w:rsidRPr="00940277">
        <w:t xml:space="preserve"> </w:t>
      </w:r>
      <w:proofErr w:type="spellStart"/>
      <w:r w:rsidR="00496259" w:rsidRPr="00940277">
        <w:t>терито</w:t>
      </w:r>
      <w:r w:rsidR="004763FA" w:rsidRPr="00940277">
        <w:t>рії</w:t>
      </w:r>
      <w:proofErr w:type="spellEnd"/>
      <w:r w:rsidR="004763FA" w:rsidRPr="00940277">
        <w:t xml:space="preserve"> </w:t>
      </w:r>
      <w:r w:rsidR="00CC0523" w:rsidRPr="00940277">
        <w:t xml:space="preserve"> </w:t>
      </w:r>
      <w:proofErr w:type="spellStart"/>
      <w:r w:rsidR="004763FA" w:rsidRPr="00940277">
        <w:t>Автономної</w:t>
      </w:r>
      <w:proofErr w:type="spellEnd"/>
      <w:r w:rsidR="004763FA" w:rsidRPr="00940277">
        <w:t xml:space="preserve"> </w:t>
      </w:r>
      <w:proofErr w:type="spellStart"/>
      <w:r w:rsidR="004763FA" w:rsidRPr="00940277">
        <w:t>Республіки</w:t>
      </w:r>
      <w:proofErr w:type="spellEnd"/>
      <w:r w:rsidR="004763FA" w:rsidRPr="00940277">
        <w:t xml:space="preserve"> </w:t>
      </w:r>
      <w:proofErr w:type="spellStart"/>
      <w:r w:rsidR="004763FA" w:rsidRPr="00940277">
        <w:t>Крим</w:t>
      </w:r>
      <w:proofErr w:type="spellEnd"/>
      <w:r w:rsidR="004763FA" w:rsidRPr="00940277">
        <w:t>,</w:t>
      </w:r>
      <w:r w:rsidR="00496259" w:rsidRPr="00940277">
        <w:t xml:space="preserve"> </w:t>
      </w:r>
      <w:proofErr w:type="spellStart"/>
      <w:r w:rsidR="00CC0523" w:rsidRPr="00940277">
        <w:t>м.</w:t>
      </w:r>
      <w:r w:rsidR="00496259" w:rsidRPr="00940277">
        <w:t>Севастополя</w:t>
      </w:r>
      <w:proofErr w:type="spellEnd"/>
      <w:r w:rsidR="00496259" w:rsidRPr="00940277">
        <w:t xml:space="preserve"> та </w:t>
      </w:r>
      <w:proofErr w:type="spellStart"/>
      <w:r w:rsidR="00496259" w:rsidRPr="00940277">
        <w:t>частини</w:t>
      </w:r>
      <w:proofErr w:type="spellEnd"/>
      <w:r w:rsidR="00496259" w:rsidRPr="00940277">
        <w:t xml:space="preserve"> </w:t>
      </w:r>
      <w:proofErr w:type="spellStart"/>
      <w:r w:rsidR="00496259" w:rsidRPr="00940277">
        <w:t>зони</w:t>
      </w:r>
      <w:proofErr w:type="spellEnd"/>
      <w:r w:rsidR="00496259" w:rsidRPr="00940277">
        <w:t xml:space="preserve"> </w:t>
      </w:r>
      <w:proofErr w:type="spellStart"/>
      <w:r w:rsidR="00496259" w:rsidRPr="00940277">
        <w:t>проведення</w:t>
      </w:r>
      <w:proofErr w:type="spellEnd"/>
      <w:r w:rsidR="00496259" w:rsidRPr="00940277">
        <w:t xml:space="preserve"> </w:t>
      </w:r>
      <w:r w:rsidR="004D4890" w:rsidRPr="00940277">
        <w:rPr>
          <w:lang w:val="uk-UA"/>
        </w:rPr>
        <w:t>антитерористичної операції</w:t>
      </w:r>
      <w:r w:rsidR="00496259" w:rsidRPr="00940277">
        <w:rPr>
          <w:lang w:val="uk-UA"/>
        </w:rPr>
        <w:t>.</w:t>
      </w:r>
    </w:p>
    <w:tbl>
      <w:tblPr>
        <w:tblpPr w:leftFromText="180" w:rightFromText="180" w:vertAnchor="text" w:horzAnchor="margin" w:tblpXSpec="right" w:tblpY="1004"/>
        <w:tblW w:w="0" w:type="auto"/>
        <w:tblLayout w:type="fixed"/>
        <w:tblLook w:val="0000" w:firstRow="0" w:lastRow="0" w:firstColumn="0" w:lastColumn="0" w:noHBand="0" w:noVBand="0"/>
      </w:tblPr>
      <w:tblGrid>
        <w:gridCol w:w="2052"/>
        <w:gridCol w:w="1548"/>
        <w:gridCol w:w="1328"/>
      </w:tblGrid>
      <w:tr w:rsidR="00C77BB0" w:rsidRPr="00BD7984">
        <w:tc>
          <w:tcPr>
            <w:tcW w:w="4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77BB0" w:rsidRPr="00BD7984" w:rsidRDefault="00C77BB0" w:rsidP="00D731C0">
            <w:pPr>
              <w:pStyle w:val="1"/>
              <w:spacing w:after="60"/>
              <w:jc w:val="center"/>
              <w:rPr>
                <w:sz w:val="28"/>
                <w:szCs w:val="28"/>
                <w:lang w:val="uk-UA"/>
              </w:rPr>
            </w:pPr>
            <w:r w:rsidRPr="00BD7984">
              <w:rPr>
                <w:b/>
                <w:sz w:val="28"/>
                <w:szCs w:val="28"/>
                <w:lang w:val="uk-UA"/>
              </w:rPr>
              <w:lastRenderedPageBreak/>
              <w:t>Використання природного газу за окремими регіонами</w:t>
            </w:r>
          </w:p>
        </w:tc>
      </w:tr>
      <w:tr w:rsidR="00C77BB0" w:rsidRPr="00BD7984">
        <w:trPr>
          <w:trHeight w:val="170"/>
        </w:trPr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BB0" w:rsidRPr="00BD7984" w:rsidRDefault="00C77BB0" w:rsidP="00ED4313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BB0" w:rsidRPr="00BD7984" w:rsidRDefault="00C77BB0" w:rsidP="00ED4313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Природний газ,</w:t>
            </w:r>
          </w:p>
          <w:p w:rsidR="00C77BB0" w:rsidRPr="00BD7984" w:rsidRDefault="00C77BB0" w:rsidP="00ED4313">
            <w:pPr>
              <w:pStyle w:val="1"/>
              <w:spacing w:line="240" w:lineRule="exact"/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млн.м</w:t>
            </w:r>
            <w:r w:rsidRPr="00BD7984">
              <w:rPr>
                <w:sz w:val="24"/>
                <w:szCs w:val="24"/>
                <w:vertAlign w:val="superscript"/>
                <w:lang w:val="uk-UA"/>
              </w:rPr>
              <w:t>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77BB0" w:rsidRPr="00BD7984" w:rsidRDefault="00C77BB0" w:rsidP="00ED4313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У % до</w:t>
            </w:r>
          </w:p>
          <w:p w:rsidR="00C77BB0" w:rsidRPr="00BD7984" w:rsidRDefault="009D36E4" w:rsidP="00032E13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201</w:t>
            </w:r>
            <w:r w:rsidR="00032E13">
              <w:rPr>
                <w:sz w:val="24"/>
                <w:szCs w:val="24"/>
                <w:lang w:val="uk-UA"/>
              </w:rPr>
              <w:t>5</w:t>
            </w:r>
            <w:r w:rsidR="00C77BB0" w:rsidRPr="00BD7984">
              <w:rPr>
                <w:sz w:val="24"/>
                <w:szCs w:val="24"/>
                <w:lang w:val="uk-UA"/>
              </w:rPr>
              <w:t>р.</w:t>
            </w:r>
          </w:p>
        </w:tc>
      </w:tr>
      <w:tr w:rsidR="00C77BB0" w:rsidRPr="00BD7984" w:rsidTr="005C2343">
        <w:trPr>
          <w:trHeight w:val="340"/>
        </w:trPr>
        <w:tc>
          <w:tcPr>
            <w:tcW w:w="20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7BB0" w:rsidRPr="00BD7984" w:rsidRDefault="00C77BB0" w:rsidP="00ED4313">
            <w:pPr>
              <w:pStyle w:val="1"/>
              <w:spacing w:line="240" w:lineRule="exact"/>
              <w:rPr>
                <w:b/>
                <w:sz w:val="24"/>
                <w:szCs w:val="24"/>
                <w:lang w:val="uk-UA"/>
              </w:rPr>
            </w:pPr>
            <w:r w:rsidRPr="00BD7984">
              <w:rPr>
                <w:b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7BB0" w:rsidRPr="00BD7984" w:rsidRDefault="009806A7" w:rsidP="007D1E6C">
            <w:pPr>
              <w:pStyle w:val="1"/>
              <w:spacing w:before="12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33968,6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7BB0" w:rsidRPr="00BD7984" w:rsidRDefault="00D6114C" w:rsidP="007D1E6C">
            <w:pPr>
              <w:pStyle w:val="1"/>
              <w:spacing w:before="120"/>
              <w:jc w:val="right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103,5</w:t>
            </w:r>
          </w:p>
        </w:tc>
      </w:tr>
      <w:tr w:rsidR="00EC07EB" w:rsidRPr="00BD7984" w:rsidTr="005C2343">
        <w:trPr>
          <w:trHeight w:val="340"/>
        </w:trPr>
        <w:tc>
          <w:tcPr>
            <w:tcW w:w="2052" w:type="dxa"/>
            <w:shd w:val="clear" w:color="auto" w:fill="auto"/>
            <w:vAlign w:val="center"/>
          </w:tcPr>
          <w:p w:rsidR="00EC07EB" w:rsidRPr="00BD7984" w:rsidRDefault="00EC07EB" w:rsidP="00ED4313">
            <w:pPr>
              <w:pStyle w:val="1"/>
              <w:spacing w:line="240" w:lineRule="exact"/>
              <w:ind w:right="-144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EC07EB" w:rsidRPr="00BD7984" w:rsidRDefault="009806A7" w:rsidP="00EF5ABC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3415,3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EC07EB" w:rsidRPr="00BD7984" w:rsidRDefault="00D6114C" w:rsidP="00D6114C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</w:t>
            </w:r>
            <w:r w:rsidR="00EF5ABC">
              <w:rPr>
                <w:color w:val="000000"/>
                <w:sz w:val="24"/>
                <w:szCs w:val="24"/>
                <w:lang w:val="uk-UA"/>
              </w:rPr>
              <w:t>9,</w:t>
            </w:r>
            <w:r>
              <w:rPr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940277" w:rsidRPr="00BD7984" w:rsidTr="005C2343">
        <w:trPr>
          <w:trHeight w:val="340"/>
        </w:trPr>
        <w:tc>
          <w:tcPr>
            <w:tcW w:w="2052" w:type="dxa"/>
            <w:shd w:val="clear" w:color="auto" w:fill="auto"/>
            <w:vAlign w:val="center"/>
          </w:tcPr>
          <w:p w:rsidR="00940277" w:rsidRPr="00BD7984" w:rsidRDefault="009806A7" w:rsidP="009806A7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940277" w:rsidRPr="00BD7984" w:rsidRDefault="009806A7" w:rsidP="0094027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1613,3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940277" w:rsidRPr="00BD7984" w:rsidRDefault="00D6114C" w:rsidP="00D6114C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77</w:t>
            </w:r>
            <w:r w:rsidR="00940277">
              <w:rPr>
                <w:color w:val="000000"/>
                <w:sz w:val="24"/>
                <w:szCs w:val="24"/>
                <w:lang w:val="uk-UA"/>
              </w:rPr>
              <w:t>,</w:t>
            </w: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</w:tc>
      </w:tr>
      <w:tr w:rsidR="009806A7" w:rsidRPr="00BD7984" w:rsidTr="005C2343">
        <w:trPr>
          <w:trHeight w:val="340"/>
        </w:trPr>
        <w:tc>
          <w:tcPr>
            <w:tcW w:w="2052" w:type="dxa"/>
            <w:shd w:val="clear" w:color="auto" w:fill="auto"/>
            <w:vAlign w:val="center"/>
          </w:tcPr>
          <w:p w:rsidR="009806A7" w:rsidRPr="00BD7984" w:rsidRDefault="009806A7" w:rsidP="009806A7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9806A7" w:rsidRPr="00BD7984" w:rsidRDefault="009806A7" w:rsidP="009806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1668,4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9806A7" w:rsidRPr="00BD7984" w:rsidRDefault="00D6114C" w:rsidP="009806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90,7</w:t>
            </w:r>
          </w:p>
        </w:tc>
      </w:tr>
      <w:tr w:rsidR="009806A7" w:rsidRPr="00BD7984" w:rsidTr="005C2343">
        <w:trPr>
          <w:trHeight w:val="340"/>
        </w:trPr>
        <w:tc>
          <w:tcPr>
            <w:tcW w:w="2052" w:type="dxa"/>
            <w:shd w:val="clear" w:color="auto" w:fill="auto"/>
            <w:vAlign w:val="center"/>
          </w:tcPr>
          <w:p w:rsidR="009806A7" w:rsidRPr="00BD7984" w:rsidRDefault="009806A7" w:rsidP="009806A7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9806A7" w:rsidRPr="00BD7984" w:rsidRDefault="00D6114C" w:rsidP="009806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1850,9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9806A7" w:rsidRPr="00BD7984" w:rsidRDefault="00D6114C" w:rsidP="009806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93,3</w:t>
            </w:r>
          </w:p>
        </w:tc>
      </w:tr>
      <w:tr w:rsidR="009806A7" w:rsidRPr="00BD7984" w:rsidTr="005C2343">
        <w:trPr>
          <w:trHeight w:val="340"/>
        </w:trPr>
        <w:tc>
          <w:tcPr>
            <w:tcW w:w="2052" w:type="dxa"/>
            <w:shd w:val="clear" w:color="auto" w:fill="auto"/>
            <w:vAlign w:val="center"/>
          </w:tcPr>
          <w:p w:rsidR="009806A7" w:rsidRPr="00BD7984" w:rsidRDefault="009806A7" w:rsidP="009806A7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9806A7" w:rsidRPr="00BD7984" w:rsidRDefault="00D6114C" w:rsidP="009806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1631,9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9806A7" w:rsidRPr="00BD7984" w:rsidRDefault="00D6114C" w:rsidP="009806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69,9</w:t>
            </w:r>
          </w:p>
        </w:tc>
      </w:tr>
      <w:tr w:rsidR="009806A7" w:rsidRPr="00BD7984" w:rsidTr="005C2343">
        <w:trPr>
          <w:trHeight w:val="340"/>
        </w:trPr>
        <w:tc>
          <w:tcPr>
            <w:tcW w:w="2052" w:type="dxa"/>
            <w:shd w:val="clear" w:color="auto" w:fill="auto"/>
            <w:vAlign w:val="center"/>
          </w:tcPr>
          <w:p w:rsidR="009806A7" w:rsidRPr="00BD7984" w:rsidRDefault="009806A7" w:rsidP="009806A7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9806A7" w:rsidRPr="00BD7984" w:rsidRDefault="00D6114C" w:rsidP="009806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2353,6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9806A7" w:rsidRPr="00BD7984" w:rsidRDefault="00D6114C" w:rsidP="009806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96,2</w:t>
            </w:r>
          </w:p>
        </w:tc>
      </w:tr>
      <w:tr w:rsidR="009806A7" w:rsidRPr="00BD7984" w:rsidTr="005C2343">
        <w:trPr>
          <w:trHeight w:val="340"/>
        </w:trPr>
        <w:tc>
          <w:tcPr>
            <w:tcW w:w="2052" w:type="dxa"/>
            <w:shd w:val="clear" w:color="auto" w:fill="auto"/>
            <w:vAlign w:val="center"/>
          </w:tcPr>
          <w:p w:rsidR="009806A7" w:rsidRPr="00BD7984" w:rsidRDefault="009806A7" w:rsidP="009806A7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9806A7" w:rsidRPr="00BD7984" w:rsidRDefault="00D6114C" w:rsidP="009806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4606,2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9806A7" w:rsidRPr="00BD7984" w:rsidRDefault="00D6114C" w:rsidP="009806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  <w:r w:rsidR="00C909B9">
              <w:rPr>
                <w:color w:val="000000"/>
                <w:sz w:val="24"/>
                <w:szCs w:val="24"/>
                <w:lang w:val="uk-UA"/>
              </w:rPr>
              <w:t>80,3</w:t>
            </w:r>
          </w:p>
        </w:tc>
      </w:tr>
      <w:tr w:rsidR="009806A7" w:rsidRPr="00BD7984" w:rsidTr="005C2343">
        <w:trPr>
          <w:trHeight w:val="340"/>
        </w:trPr>
        <w:tc>
          <w:tcPr>
            <w:tcW w:w="2052" w:type="dxa"/>
            <w:shd w:val="clear" w:color="auto" w:fill="auto"/>
            <w:vAlign w:val="center"/>
          </w:tcPr>
          <w:p w:rsidR="009806A7" w:rsidRPr="00BD7984" w:rsidRDefault="009806A7" w:rsidP="009806A7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1548" w:type="dxa"/>
            <w:shd w:val="clear" w:color="auto" w:fill="auto"/>
            <w:vAlign w:val="center"/>
          </w:tcPr>
          <w:p w:rsidR="009806A7" w:rsidRPr="00BD7984" w:rsidRDefault="00D6114C" w:rsidP="009806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2127,4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9806A7" w:rsidRPr="00BD7984" w:rsidRDefault="00C909B9" w:rsidP="009806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105,6</w:t>
            </w:r>
          </w:p>
        </w:tc>
      </w:tr>
      <w:tr w:rsidR="009806A7" w:rsidRPr="00BD7984" w:rsidTr="005C2343">
        <w:trPr>
          <w:trHeight w:val="340"/>
        </w:trPr>
        <w:tc>
          <w:tcPr>
            <w:tcW w:w="2052" w:type="dxa"/>
            <w:shd w:val="clear" w:color="auto" w:fill="auto"/>
            <w:vAlign w:val="center"/>
          </w:tcPr>
          <w:p w:rsidR="009806A7" w:rsidRPr="00BD7984" w:rsidRDefault="009806A7" w:rsidP="009806A7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1548" w:type="dxa"/>
            <w:shd w:val="clear" w:color="auto" w:fill="auto"/>
            <w:vAlign w:val="center"/>
          </w:tcPr>
          <w:p w:rsidR="009806A7" w:rsidRPr="00BD7984" w:rsidRDefault="00D6114C" w:rsidP="009806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2988,3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9806A7" w:rsidRPr="00BD7984" w:rsidRDefault="00C909B9" w:rsidP="009806A7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105</w:t>
            </w:r>
            <w:r w:rsidR="009806A7">
              <w:rPr>
                <w:color w:val="000000"/>
                <w:sz w:val="24"/>
                <w:szCs w:val="24"/>
                <w:lang w:val="uk-UA"/>
              </w:rPr>
              <w:t>,5</w:t>
            </w:r>
          </w:p>
        </w:tc>
      </w:tr>
    </w:tbl>
    <w:p w:rsidR="000C56B2" w:rsidRPr="00BD7984" w:rsidRDefault="00FA64FA" w:rsidP="00FA64FA">
      <w:pPr>
        <w:tabs>
          <w:tab w:val="left" w:pos="709"/>
        </w:tabs>
        <w:spacing w:line="35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Pr="00BD7984">
        <w:rPr>
          <w:sz w:val="28"/>
          <w:szCs w:val="28"/>
        </w:rPr>
        <w:t xml:space="preserve">а споживачів </w:t>
      </w:r>
      <w:r w:rsidR="00940277" w:rsidRPr="00BD7984">
        <w:rPr>
          <w:sz w:val="28"/>
          <w:szCs w:val="28"/>
        </w:rPr>
        <w:t xml:space="preserve">Харківської </w:t>
      </w:r>
      <w:r>
        <w:rPr>
          <w:sz w:val="28"/>
          <w:szCs w:val="28"/>
        </w:rPr>
        <w:t>області припало</w:t>
      </w:r>
      <w:r w:rsidRPr="00BD7984">
        <w:rPr>
          <w:sz w:val="28"/>
          <w:szCs w:val="28"/>
        </w:rPr>
        <w:t xml:space="preserve"> </w:t>
      </w:r>
      <w:r w:rsidR="007D1E6C">
        <w:rPr>
          <w:sz w:val="28"/>
          <w:szCs w:val="28"/>
        </w:rPr>
        <w:t>1</w:t>
      </w:r>
      <w:r w:rsidR="00940277">
        <w:rPr>
          <w:sz w:val="28"/>
          <w:szCs w:val="28"/>
        </w:rPr>
        <w:t>3,6</w:t>
      </w:r>
      <w:r w:rsidR="000C56B2" w:rsidRPr="00BD7984">
        <w:rPr>
          <w:sz w:val="28"/>
          <w:szCs w:val="28"/>
        </w:rPr>
        <w:t xml:space="preserve">% </w:t>
      </w:r>
      <w:r>
        <w:rPr>
          <w:sz w:val="28"/>
          <w:szCs w:val="28"/>
        </w:rPr>
        <w:t xml:space="preserve">використання </w:t>
      </w:r>
      <w:r w:rsidR="000C56B2" w:rsidRPr="00BD7984">
        <w:rPr>
          <w:sz w:val="28"/>
          <w:szCs w:val="28"/>
        </w:rPr>
        <w:t>при</w:t>
      </w:r>
      <w:r w:rsidR="001607D2">
        <w:rPr>
          <w:sz w:val="28"/>
          <w:szCs w:val="28"/>
        </w:rPr>
        <w:t>-</w:t>
      </w:r>
      <w:proofErr w:type="spellStart"/>
      <w:r w:rsidR="000C56B2" w:rsidRPr="00BD7984">
        <w:rPr>
          <w:sz w:val="28"/>
          <w:szCs w:val="28"/>
        </w:rPr>
        <w:t>родного</w:t>
      </w:r>
      <w:proofErr w:type="spellEnd"/>
      <w:r w:rsidR="000C56B2" w:rsidRPr="00BD7984">
        <w:rPr>
          <w:sz w:val="28"/>
          <w:szCs w:val="28"/>
        </w:rPr>
        <w:t xml:space="preserve"> газу</w:t>
      </w:r>
      <w:r w:rsidR="005F678A" w:rsidRPr="00BD798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940277" w:rsidRPr="00BD7984">
        <w:rPr>
          <w:sz w:val="28"/>
          <w:szCs w:val="28"/>
        </w:rPr>
        <w:t>Дніпропетровської</w:t>
      </w:r>
      <w:r w:rsidR="00940277">
        <w:rPr>
          <w:sz w:val="28"/>
          <w:szCs w:val="28"/>
        </w:rPr>
        <w:t xml:space="preserve"> </w:t>
      </w:r>
      <w:r w:rsidR="00940277" w:rsidRPr="00BD7984">
        <w:rPr>
          <w:sz w:val="28"/>
          <w:szCs w:val="28"/>
        </w:rPr>
        <w:t xml:space="preserve">– </w:t>
      </w:r>
      <w:r w:rsidR="00940277">
        <w:rPr>
          <w:sz w:val="28"/>
          <w:szCs w:val="28"/>
        </w:rPr>
        <w:t>10,1</w:t>
      </w:r>
      <w:r w:rsidR="00940277" w:rsidRPr="00BD7984">
        <w:rPr>
          <w:sz w:val="28"/>
          <w:szCs w:val="28"/>
        </w:rPr>
        <w:t>%</w:t>
      </w:r>
      <w:r w:rsidR="00940277">
        <w:rPr>
          <w:sz w:val="28"/>
          <w:szCs w:val="28"/>
        </w:rPr>
        <w:t>,</w:t>
      </w:r>
      <w:r w:rsidR="00940277" w:rsidRPr="006A1DEA">
        <w:rPr>
          <w:sz w:val="28"/>
          <w:szCs w:val="28"/>
        </w:rPr>
        <w:t xml:space="preserve"> </w:t>
      </w:r>
      <w:proofErr w:type="spellStart"/>
      <w:r w:rsidR="006A1DEA" w:rsidRPr="006A1DEA">
        <w:rPr>
          <w:sz w:val="28"/>
          <w:szCs w:val="28"/>
        </w:rPr>
        <w:t>м.Києва</w:t>
      </w:r>
      <w:proofErr w:type="spellEnd"/>
      <w:r w:rsidR="006A1DEA">
        <w:rPr>
          <w:sz w:val="28"/>
          <w:szCs w:val="28"/>
        </w:rPr>
        <w:t xml:space="preserve"> </w:t>
      </w:r>
      <w:r w:rsidR="006A1DEA" w:rsidRPr="00BD7984">
        <w:rPr>
          <w:sz w:val="28"/>
          <w:szCs w:val="28"/>
        </w:rPr>
        <w:t xml:space="preserve">– </w:t>
      </w:r>
      <w:r w:rsidR="007D1E6C">
        <w:rPr>
          <w:sz w:val="28"/>
          <w:szCs w:val="28"/>
        </w:rPr>
        <w:t>8,</w:t>
      </w:r>
      <w:r w:rsidR="00940277">
        <w:rPr>
          <w:sz w:val="28"/>
          <w:szCs w:val="28"/>
        </w:rPr>
        <w:t>8</w:t>
      </w:r>
      <w:r w:rsidR="005F678A" w:rsidRPr="00BD7984">
        <w:rPr>
          <w:sz w:val="28"/>
          <w:szCs w:val="28"/>
        </w:rPr>
        <w:t>%</w:t>
      </w:r>
      <w:r w:rsidR="00AA4B13" w:rsidRPr="00BD7984">
        <w:rPr>
          <w:sz w:val="28"/>
          <w:szCs w:val="28"/>
        </w:rPr>
        <w:t>;</w:t>
      </w:r>
      <w:r w:rsidR="00EF5ABC">
        <w:rPr>
          <w:sz w:val="28"/>
          <w:szCs w:val="28"/>
        </w:rPr>
        <w:t xml:space="preserve"> </w:t>
      </w:r>
      <w:r w:rsidR="00EF5ABC" w:rsidRPr="006A1DEA">
        <w:rPr>
          <w:sz w:val="28"/>
          <w:szCs w:val="28"/>
        </w:rPr>
        <w:t>Полтавськ</w:t>
      </w:r>
      <w:r w:rsidR="00EF5ABC">
        <w:rPr>
          <w:sz w:val="28"/>
          <w:szCs w:val="28"/>
        </w:rPr>
        <w:t>ої</w:t>
      </w:r>
      <w:r w:rsidR="008635D5">
        <w:rPr>
          <w:sz w:val="28"/>
          <w:szCs w:val="28"/>
        </w:rPr>
        <w:t xml:space="preserve"> </w:t>
      </w:r>
      <w:r w:rsidR="008635D5" w:rsidRPr="006A1DEA">
        <w:rPr>
          <w:sz w:val="28"/>
          <w:szCs w:val="28"/>
        </w:rPr>
        <w:t>–</w:t>
      </w:r>
      <w:r w:rsidR="008635D5">
        <w:rPr>
          <w:sz w:val="28"/>
          <w:szCs w:val="28"/>
        </w:rPr>
        <w:t xml:space="preserve"> 6,9</w:t>
      </w:r>
      <w:r w:rsidR="001607D2">
        <w:rPr>
          <w:sz w:val="28"/>
          <w:szCs w:val="28"/>
        </w:rPr>
        <w:t>%</w:t>
      </w:r>
      <w:r w:rsidR="008635D5">
        <w:rPr>
          <w:sz w:val="28"/>
          <w:szCs w:val="28"/>
        </w:rPr>
        <w:t>,</w:t>
      </w:r>
      <w:r w:rsidR="00940277" w:rsidRPr="00940277">
        <w:rPr>
          <w:sz w:val="28"/>
          <w:szCs w:val="28"/>
        </w:rPr>
        <w:t xml:space="preserve"> </w:t>
      </w:r>
      <w:r w:rsidR="00940277" w:rsidRPr="00BD7984">
        <w:rPr>
          <w:sz w:val="28"/>
          <w:szCs w:val="28"/>
        </w:rPr>
        <w:t>Черкаської</w:t>
      </w:r>
      <w:r w:rsidR="00940277">
        <w:rPr>
          <w:sz w:val="28"/>
          <w:szCs w:val="28"/>
        </w:rPr>
        <w:t xml:space="preserve"> </w:t>
      </w:r>
      <w:r w:rsidR="0033687E" w:rsidRPr="006A1DEA">
        <w:rPr>
          <w:sz w:val="28"/>
          <w:szCs w:val="28"/>
        </w:rPr>
        <w:t>–</w:t>
      </w:r>
      <w:r w:rsidR="008635D5">
        <w:rPr>
          <w:sz w:val="28"/>
          <w:szCs w:val="28"/>
        </w:rPr>
        <w:t xml:space="preserve"> </w:t>
      </w:r>
      <w:r w:rsidR="00940277">
        <w:rPr>
          <w:sz w:val="28"/>
          <w:szCs w:val="28"/>
        </w:rPr>
        <w:t>6</w:t>
      </w:r>
      <w:r w:rsidR="00EF5ABC">
        <w:rPr>
          <w:sz w:val="28"/>
          <w:szCs w:val="28"/>
        </w:rPr>
        <w:t>,</w:t>
      </w:r>
      <w:r w:rsidR="00940277">
        <w:rPr>
          <w:sz w:val="28"/>
          <w:szCs w:val="28"/>
        </w:rPr>
        <w:t>3</w:t>
      </w:r>
      <w:r w:rsidR="000C56B2" w:rsidRPr="00BD7984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  <w:r w:rsidR="00940277">
        <w:rPr>
          <w:sz w:val="28"/>
          <w:szCs w:val="28"/>
        </w:rPr>
        <w:t xml:space="preserve">Львівської </w:t>
      </w:r>
      <w:r w:rsidR="006A1DEA" w:rsidRPr="00FA64FA">
        <w:rPr>
          <w:sz w:val="28"/>
          <w:szCs w:val="28"/>
        </w:rPr>
        <w:t>–</w:t>
      </w:r>
      <w:r w:rsidR="006A1DEA" w:rsidRPr="006A1DEA">
        <w:rPr>
          <w:sz w:val="28"/>
          <w:szCs w:val="28"/>
        </w:rPr>
        <w:t xml:space="preserve"> </w:t>
      </w:r>
      <w:r w:rsidR="00940277">
        <w:rPr>
          <w:sz w:val="28"/>
          <w:szCs w:val="28"/>
        </w:rPr>
        <w:t>5,4</w:t>
      </w:r>
      <w:r>
        <w:rPr>
          <w:sz w:val="28"/>
          <w:szCs w:val="28"/>
        </w:rPr>
        <w:t>%;</w:t>
      </w:r>
      <w:r w:rsidR="00EF5ABC" w:rsidRPr="00EF5ABC">
        <w:rPr>
          <w:sz w:val="28"/>
          <w:szCs w:val="28"/>
        </w:rPr>
        <w:t xml:space="preserve"> </w:t>
      </w:r>
      <w:r w:rsidR="00EF5ABC">
        <w:rPr>
          <w:sz w:val="28"/>
          <w:szCs w:val="28"/>
        </w:rPr>
        <w:t>Донецької</w:t>
      </w:r>
      <w:r w:rsidR="005F678A" w:rsidRPr="00BD7984">
        <w:rPr>
          <w:sz w:val="28"/>
          <w:szCs w:val="28"/>
        </w:rPr>
        <w:t xml:space="preserve">, </w:t>
      </w:r>
      <w:r w:rsidR="000A5D7F" w:rsidRPr="00BD7984">
        <w:rPr>
          <w:sz w:val="28"/>
          <w:szCs w:val="28"/>
        </w:rPr>
        <w:t>Київської</w:t>
      </w:r>
      <w:r w:rsidR="0033687E">
        <w:rPr>
          <w:sz w:val="28"/>
          <w:szCs w:val="28"/>
        </w:rPr>
        <w:t xml:space="preserve"> </w:t>
      </w:r>
      <w:r w:rsidR="009806A7" w:rsidRPr="00BD7984">
        <w:rPr>
          <w:sz w:val="28"/>
          <w:szCs w:val="28"/>
        </w:rPr>
        <w:t>та</w:t>
      </w:r>
      <w:r w:rsidR="009806A7" w:rsidRPr="00FA64FA">
        <w:rPr>
          <w:sz w:val="28"/>
          <w:szCs w:val="28"/>
        </w:rPr>
        <w:t xml:space="preserve"> </w:t>
      </w:r>
      <w:r w:rsidR="009806A7">
        <w:rPr>
          <w:sz w:val="28"/>
          <w:szCs w:val="28"/>
        </w:rPr>
        <w:t>Одеської</w:t>
      </w:r>
      <w:r w:rsidR="008635D5">
        <w:rPr>
          <w:sz w:val="28"/>
          <w:szCs w:val="28"/>
        </w:rPr>
        <w:t xml:space="preserve"> </w:t>
      </w:r>
      <w:r w:rsidR="00DF2E12" w:rsidRPr="00FA64FA">
        <w:rPr>
          <w:sz w:val="28"/>
          <w:szCs w:val="28"/>
        </w:rPr>
        <w:t>–</w:t>
      </w:r>
      <w:r w:rsidR="00DF2E12" w:rsidRPr="00DF2E12">
        <w:rPr>
          <w:sz w:val="28"/>
          <w:szCs w:val="28"/>
        </w:rPr>
        <w:t xml:space="preserve"> </w:t>
      </w:r>
      <w:r w:rsidR="00DF2E12" w:rsidRPr="00BD7984">
        <w:rPr>
          <w:sz w:val="28"/>
          <w:szCs w:val="28"/>
        </w:rPr>
        <w:t xml:space="preserve">по </w:t>
      </w:r>
      <w:r w:rsidR="00940277">
        <w:rPr>
          <w:sz w:val="28"/>
          <w:szCs w:val="28"/>
        </w:rPr>
        <w:t>5</w:t>
      </w:r>
      <w:r w:rsidR="00DF2E12" w:rsidRPr="00BD7984">
        <w:rPr>
          <w:sz w:val="28"/>
          <w:szCs w:val="28"/>
        </w:rPr>
        <w:t>%</w:t>
      </w:r>
      <w:r w:rsidR="000C56B2" w:rsidRPr="00BD7984">
        <w:rPr>
          <w:sz w:val="28"/>
          <w:szCs w:val="28"/>
        </w:rPr>
        <w:t xml:space="preserve">.  </w:t>
      </w:r>
    </w:p>
    <w:p w:rsidR="00DF2E12" w:rsidRDefault="000C56B2" w:rsidP="007A0B4E">
      <w:pPr>
        <w:pStyle w:val="1"/>
        <w:ind w:firstLine="720"/>
        <w:jc w:val="both"/>
        <w:rPr>
          <w:sz w:val="28"/>
          <w:szCs w:val="28"/>
          <w:lang w:val="uk-UA"/>
        </w:rPr>
      </w:pPr>
      <w:r w:rsidRPr="00456FCA">
        <w:rPr>
          <w:sz w:val="28"/>
          <w:szCs w:val="28"/>
          <w:lang w:val="uk-UA"/>
        </w:rPr>
        <w:t>З</w:t>
      </w:r>
      <w:r w:rsidR="00D6114C">
        <w:rPr>
          <w:sz w:val="28"/>
          <w:szCs w:val="28"/>
          <w:lang w:val="uk-UA"/>
        </w:rPr>
        <w:t>біль</w:t>
      </w:r>
      <w:r w:rsidRPr="00456FCA">
        <w:rPr>
          <w:sz w:val="28"/>
          <w:szCs w:val="28"/>
          <w:lang w:val="uk-UA"/>
        </w:rPr>
        <w:t>шили</w:t>
      </w:r>
      <w:r w:rsidRPr="00BD7984">
        <w:rPr>
          <w:sz w:val="28"/>
          <w:szCs w:val="28"/>
          <w:lang w:val="uk-UA"/>
        </w:rPr>
        <w:t xml:space="preserve"> обсяги</w:t>
      </w:r>
      <w:r w:rsidR="00D129F7">
        <w:rPr>
          <w:sz w:val="28"/>
          <w:szCs w:val="28"/>
          <w:lang w:val="uk-UA"/>
        </w:rPr>
        <w:t xml:space="preserve"> </w:t>
      </w:r>
      <w:r w:rsidR="001607D2">
        <w:rPr>
          <w:sz w:val="28"/>
          <w:szCs w:val="28"/>
          <w:lang w:val="uk-UA"/>
        </w:rPr>
        <w:t>природного газу</w:t>
      </w:r>
      <w:r w:rsidRPr="00BD7984">
        <w:rPr>
          <w:sz w:val="28"/>
          <w:szCs w:val="28"/>
          <w:lang w:val="uk-UA"/>
        </w:rPr>
        <w:t xml:space="preserve"> споживання підприєм</w:t>
      </w:r>
      <w:r w:rsidR="00A07726" w:rsidRPr="00BD7984">
        <w:rPr>
          <w:sz w:val="28"/>
          <w:szCs w:val="28"/>
          <w:lang w:val="uk-UA"/>
        </w:rPr>
        <w:t>ства</w:t>
      </w:r>
      <w:r w:rsidR="00D129F7" w:rsidRPr="00D129F7">
        <w:rPr>
          <w:sz w:val="28"/>
          <w:szCs w:val="28"/>
          <w:lang w:val="uk-UA"/>
        </w:rPr>
        <w:t xml:space="preserve"> </w:t>
      </w:r>
      <w:r w:rsidR="00D6114C">
        <w:rPr>
          <w:sz w:val="28"/>
          <w:szCs w:val="28"/>
          <w:lang w:val="uk-UA"/>
        </w:rPr>
        <w:t>13</w:t>
      </w:r>
      <w:r w:rsidRPr="00BD7984">
        <w:rPr>
          <w:sz w:val="28"/>
          <w:szCs w:val="28"/>
          <w:lang w:val="uk-UA"/>
        </w:rPr>
        <w:t xml:space="preserve"> </w:t>
      </w:r>
      <w:r w:rsidR="00AE0D17">
        <w:rPr>
          <w:sz w:val="28"/>
          <w:szCs w:val="28"/>
          <w:lang w:val="uk-UA"/>
        </w:rPr>
        <w:t>областей</w:t>
      </w:r>
      <w:r w:rsidRPr="00BD7984">
        <w:rPr>
          <w:sz w:val="28"/>
          <w:szCs w:val="28"/>
          <w:lang w:val="uk-UA"/>
        </w:rPr>
        <w:t xml:space="preserve">, серед </w:t>
      </w:r>
      <w:r w:rsidR="00A70E9B">
        <w:rPr>
          <w:sz w:val="28"/>
          <w:szCs w:val="28"/>
          <w:lang w:val="uk-UA"/>
        </w:rPr>
        <w:t>н</w:t>
      </w:r>
      <w:r w:rsidRPr="00BD7984">
        <w:rPr>
          <w:sz w:val="28"/>
          <w:szCs w:val="28"/>
          <w:lang w:val="uk-UA"/>
        </w:rPr>
        <w:t xml:space="preserve">их </w:t>
      </w:r>
      <w:r w:rsidR="00C75772" w:rsidRPr="00BD7984">
        <w:rPr>
          <w:sz w:val="28"/>
          <w:szCs w:val="28"/>
          <w:lang w:val="uk-UA"/>
        </w:rPr>
        <w:t>значно</w:t>
      </w:r>
      <w:r w:rsidR="00E04C65" w:rsidRPr="00E04C65">
        <w:rPr>
          <w:sz w:val="28"/>
          <w:szCs w:val="28"/>
          <w:lang w:val="uk-UA"/>
        </w:rPr>
        <w:t xml:space="preserve"> </w:t>
      </w:r>
      <w:r w:rsidR="00D6114C">
        <w:rPr>
          <w:sz w:val="28"/>
          <w:szCs w:val="28"/>
          <w:lang w:val="uk-UA"/>
        </w:rPr>
        <w:t>Харків</w:t>
      </w:r>
      <w:r w:rsidR="00E04C65" w:rsidRPr="00BD7984">
        <w:rPr>
          <w:sz w:val="28"/>
          <w:szCs w:val="28"/>
          <w:lang w:val="uk-UA"/>
        </w:rPr>
        <w:t xml:space="preserve">ської (на </w:t>
      </w:r>
      <w:r w:rsidR="00D6114C">
        <w:rPr>
          <w:sz w:val="28"/>
          <w:szCs w:val="28"/>
          <w:lang w:val="uk-UA"/>
        </w:rPr>
        <w:t>8</w:t>
      </w:r>
      <w:r w:rsidR="00456FCA">
        <w:rPr>
          <w:sz w:val="28"/>
          <w:szCs w:val="28"/>
          <w:lang w:val="uk-UA"/>
        </w:rPr>
        <w:t>0</w:t>
      </w:r>
      <w:r w:rsidR="00E04C65" w:rsidRPr="00BD7984">
        <w:rPr>
          <w:sz w:val="28"/>
          <w:szCs w:val="28"/>
          <w:lang w:val="uk-UA"/>
        </w:rPr>
        <w:t>%)</w:t>
      </w:r>
      <w:r w:rsidR="00E04C65">
        <w:rPr>
          <w:sz w:val="28"/>
          <w:szCs w:val="28"/>
          <w:lang w:val="uk-UA"/>
        </w:rPr>
        <w:t>,</w:t>
      </w:r>
      <w:r w:rsidR="00D6114C" w:rsidRPr="00D6114C">
        <w:rPr>
          <w:sz w:val="28"/>
          <w:szCs w:val="28"/>
          <w:lang w:val="uk-UA"/>
        </w:rPr>
        <w:t xml:space="preserve"> </w:t>
      </w:r>
      <w:r w:rsidR="00D6114C">
        <w:rPr>
          <w:sz w:val="28"/>
          <w:szCs w:val="28"/>
          <w:lang w:val="uk-UA"/>
        </w:rPr>
        <w:t>Івано-Франківської</w:t>
      </w:r>
      <w:r w:rsidR="00D6114C" w:rsidRPr="00BD7984">
        <w:rPr>
          <w:sz w:val="28"/>
          <w:szCs w:val="28"/>
          <w:lang w:val="uk-UA"/>
        </w:rPr>
        <w:t xml:space="preserve"> (на </w:t>
      </w:r>
      <w:r w:rsidR="00D6114C">
        <w:rPr>
          <w:sz w:val="28"/>
          <w:szCs w:val="28"/>
          <w:lang w:val="uk-UA"/>
        </w:rPr>
        <w:t>19</w:t>
      </w:r>
      <w:r w:rsidR="00D6114C" w:rsidRPr="00BD7984">
        <w:rPr>
          <w:sz w:val="28"/>
          <w:szCs w:val="28"/>
          <w:lang w:val="uk-UA"/>
        </w:rPr>
        <w:t>%),</w:t>
      </w:r>
      <w:r w:rsidR="00C75772" w:rsidRPr="00BD7984">
        <w:rPr>
          <w:sz w:val="28"/>
          <w:szCs w:val="28"/>
          <w:lang w:val="uk-UA"/>
        </w:rPr>
        <w:t xml:space="preserve"> </w:t>
      </w:r>
      <w:r w:rsidR="00D6114C">
        <w:rPr>
          <w:sz w:val="28"/>
          <w:szCs w:val="28"/>
          <w:lang w:val="uk-UA"/>
        </w:rPr>
        <w:t>Тернопільської</w:t>
      </w:r>
      <w:r w:rsidR="005F678A" w:rsidRPr="00BD7984">
        <w:rPr>
          <w:sz w:val="28"/>
          <w:szCs w:val="28"/>
          <w:lang w:val="uk-UA"/>
        </w:rPr>
        <w:t xml:space="preserve"> (на </w:t>
      </w:r>
      <w:r w:rsidR="00D6114C">
        <w:rPr>
          <w:sz w:val="28"/>
          <w:szCs w:val="28"/>
          <w:lang w:val="uk-UA"/>
        </w:rPr>
        <w:t>18</w:t>
      </w:r>
      <w:r w:rsidR="005F678A" w:rsidRPr="00BD7984">
        <w:rPr>
          <w:sz w:val="28"/>
          <w:szCs w:val="28"/>
          <w:lang w:val="uk-UA"/>
        </w:rPr>
        <w:t>%),</w:t>
      </w:r>
      <w:r w:rsidR="00AA4B13" w:rsidRPr="00BD7984">
        <w:rPr>
          <w:sz w:val="28"/>
          <w:szCs w:val="28"/>
          <w:lang w:val="uk-UA"/>
        </w:rPr>
        <w:t xml:space="preserve"> </w:t>
      </w:r>
      <w:r w:rsidR="00E04C65">
        <w:rPr>
          <w:sz w:val="28"/>
          <w:szCs w:val="28"/>
          <w:lang w:val="uk-UA"/>
        </w:rPr>
        <w:t>та</w:t>
      </w:r>
      <w:r w:rsidRPr="00BD7984">
        <w:rPr>
          <w:sz w:val="28"/>
          <w:szCs w:val="28"/>
          <w:lang w:val="uk-UA"/>
        </w:rPr>
        <w:t xml:space="preserve"> </w:t>
      </w:r>
      <w:r w:rsidR="00D6114C">
        <w:rPr>
          <w:sz w:val="28"/>
          <w:szCs w:val="28"/>
          <w:lang w:val="uk-UA"/>
        </w:rPr>
        <w:t>Волинсь</w:t>
      </w:r>
      <w:r w:rsidR="00EE21C8" w:rsidRPr="00BD7984">
        <w:rPr>
          <w:sz w:val="28"/>
          <w:szCs w:val="28"/>
          <w:lang w:val="uk-UA"/>
        </w:rPr>
        <w:t>кої</w:t>
      </w:r>
      <w:r w:rsidR="00F43674" w:rsidRPr="00BD7984">
        <w:rPr>
          <w:sz w:val="28"/>
          <w:szCs w:val="28"/>
          <w:lang w:val="uk-UA"/>
        </w:rPr>
        <w:t xml:space="preserve"> </w:t>
      </w:r>
      <w:r w:rsidRPr="00BD7984">
        <w:rPr>
          <w:sz w:val="28"/>
          <w:szCs w:val="28"/>
          <w:lang w:val="uk-UA"/>
        </w:rPr>
        <w:t xml:space="preserve">(на </w:t>
      </w:r>
      <w:r w:rsidR="00E04C65">
        <w:rPr>
          <w:sz w:val="28"/>
          <w:szCs w:val="28"/>
          <w:lang w:val="uk-UA"/>
        </w:rPr>
        <w:t>1</w:t>
      </w:r>
      <w:r w:rsidR="00D6114C">
        <w:rPr>
          <w:sz w:val="28"/>
          <w:szCs w:val="28"/>
          <w:lang w:val="uk-UA"/>
        </w:rPr>
        <w:t>0</w:t>
      </w:r>
      <w:r w:rsidRPr="00BD7984">
        <w:rPr>
          <w:sz w:val="28"/>
          <w:szCs w:val="28"/>
          <w:lang w:val="uk-UA"/>
        </w:rPr>
        <w:t>%)</w:t>
      </w:r>
      <w:r w:rsidR="005117FE" w:rsidRPr="00BD7984">
        <w:rPr>
          <w:sz w:val="28"/>
          <w:szCs w:val="28"/>
          <w:lang w:val="uk-UA"/>
        </w:rPr>
        <w:t xml:space="preserve"> областей</w:t>
      </w:r>
      <w:r w:rsidR="00C75772" w:rsidRPr="00BD7984">
        <w:rPr>
          <w:sz w:val="28"/>
          <w:szCs w:val="28"/>
          <w:lang w:val="uk-UA"/>
        </w:rPr>
        <w:t xml:space="preserve">. </w:t>
      </w:r>
    </w:p>
    <w:p w:rsidR="00A9224A" w:rsidRDefault="007A0B4E" w:rsidP="007A0B4E">
      <w:pPr>
        <w:pStyle w:val="1"/>
        <w:ind w:firstLine="720"/>
        <w:jc w:val="both"/>
        <w:rPr>
          <w:sz w:val="28"/>
          <w:szCs w:val="28"/>
        </w:rPr>
      </w:pPr>
      <w:r w:rsidRPr="007A0B4E">
        <w:rPr>
          <w:sz w:val="28"/>
          <w:szCs w:val="28"/>
          <w:lang w:val="uk-UA"/>
        </w:rPr>
        <w:t>Значна част</w:t>
      </w:r>
      <w:r w:rsidR="00DF2E12">
        <w:rPr>
          <w:sz w:val="28"/>
          <w:szCs w:val="28"/>
          <w:lang w:val="uk-UA"/>
        </w:rPr>
        <w:t>к</w:t>
      </w:r>
      <w:r w:rsidRPr="007A0B4E">
        <w:rPr>
          <w:sz w:val="28"/>
          <w:szCs w:val="28"/>
          <w:lang w:val="uk-UA"/>
        </w:rPr>
        <w:t>а бензину моторного у 201</w:t>
      </w:r>
      <w:r w:rsidR="00032E13">
        <w:rPr>
          <w:sz w:val="28"/>
          <w:szCs w:val="28"/>
          <w:lang w:val="uk-UA"/>
        </w:rPr>
        <w:t>6</w:t>
      </w:r>
      <w:r w:rsidRPr="007A0B4E">
        <w:rPr>
          <w:sz w:val="28"/>
          <w:szCs w:val="28"/>
          <w:lang w:val="uk-UA"/>
        </w:rPr>
        <w:t xml:space="preserve">р. </w:t>
      </w:r>
      <w:proofErr w:type="spellStart"/>
      <w:r w:rsidRPr="007A0B4E">
        <w:rPr>
          <w:sz w:val="28"/>
          <w:szCs w:val="28"/>
          <w:lang w:val="uk-UA"/>
        </w:rPr>
        <w:t>використо</w:t>
      </w:r>
      <w:proofErr w:type="spellEnd"/>
      <w:r w:rsidR="00DC7B82" w:rsidRPr="00DC7B82">
        <w:rPr>
          <w:sz w:val="28"/>
          <w:szCs w:val="28"/>
        </w:rPr>
        <w:t>-</w:t>
      </w:r>
      <w:proofErr w:type="spellStart"/>
      <w:r w:rsidRPr="007A0B4E">
        <w:rPr>
          <w:sz w:val="28"/>
          <w:szCs w:val="28"/>
          <w:lang w:val="uk-UA"/>
        </w:rPr>
        <w:t>вувалась</w:t>
      </w:r>
      <w:proofErr w:type="spellEnd"/>
      <w:r w:rsidRPr="007A0B4E">
        <w:rPr>
          <w:sz w:val="28"/>
          <w:szCs w:val="28"/>
          <w:lang w:val="uk-UA"/>
        </w:rPr>
        <w:t xml:space="preserve"> підприємствами й</w:t>
      </w:r>
      <w:r>
        <w:rPr>
          <w:sz w:val="28"/>
          <w:szCs w:val="28"/>
          <w:lang w:val="uk-UA"/>
        </w:rPr>
        <w:t xml:space="preserve"> </w:t>
      </w:r>
      <w:r w:rsidRPr="007A0B4E">
        <w:rPr>
          <w:sz w:val="28"/>
          <w:szCs w:val="28"/>
          <w:lang w:val="uk-UA"/>
        </w:rPr>
        <w:t>організаціями</w:t>
      </w:r>
      <w:r>
        <w:rPr>
          <w:sz w:val="28"/>
          <w:szCs w:val="28"/>
          <w:lang w:val="uk-UA"/>
        </w:rPr>
        <w:t xml:space="preserve"> </w:t>
      </w:r>
      <w:r w:rsidRPr="002850AA">
        <w:rPr>
          <w:sz w:val="28"/>
          <w:szCs w:val="28"/>
          <w:lang w:val="uk-UA"/>
        </w:rPr>
        <w:t>9</w:t>
      </w:r>
      <w:r w:rsidRPr="007A0B4E">
        <w:rPr>
          <w:sz w:val="28"/>
          <w:szCs w:val="28"/>
          <w:lang w:val="uk-UA"/>
        </w:rPr>
        <w:t xml:space="preserve"> регіонів</w:t>
      </w:r>
      <w:r>
        <w:rPr>
          <w:sz w:val="28"/>
          <w:szCs w:val="28"/>
          <w:lang w:val="uk-UA"/>
        </w:rPr>
        <w:t xml:space="preserve"> </w:t>
      </w:r>
      <w:r w:rsidRPr="007A0B4E">
        <w:rPr>
          <w:sz w:val="28"/>
          <w:szCs w:val="28"/>
          <w:lang w:val="uk-UA"/>
        </w:rPr>
        <w:t>(</w:t>
      </w:r>
      <w:r w:rsidR="00032E13">
        <w:rPr>
          <w:sz w:val="28"/>
          <w:szCs w:val="28"/>
          <w:lang w:val="uk-UA"/>
        </w:rPr>
        <w:t>59</w:t>
      </w:r>
      <w:r w:rsidRPr="007A0B4E">
        <w:rPr>
          <w:sz w:val="28"/>
          <w:szCs w:val="28"/>
          <w:lang w:val="uk-UA"/>
        </w:rPr>
        <w:t>% від загальних</w:t>
      </w:r>
      <w:r w:rsidR="00DF2E12">
        <w:rPr>
          <w:sz w:val="28"/>
          <w:szCs w:val="28"/>
          <w:lang w:val="uk-UA"/>
        </w:rPr>
        <w:t xml:space="preserve"> </w:t>
      </w:r>
      <w:r w:rsidRPr="007A0B4E">
        <w:rPr>
          <w:sz w:val="28"/>
          <w:szCs w:val="28"/>
          <w:lang w:val="uk-UA"/>
        </w:rPr>
        <w:t>обсягів</w:t>
      </w:r>
      <w:r>
        <w:rPr>
          <w:sz w:val="28"/>
          <w:szCs w:val="28"/>
          <w:lang w:val="uk-UA"/>
        </w:rPr>
        <w:t xml:space="preserve"> </w:t>
      </w:r>
      <w:r w:rsidRPr="00BD7984">
        <w:rPr>
          <w:sz w:val="28"/>
          <w:szCs w:val="28"/>
        </w:rPr>
        <w:t xml:space="preserve">по </w:t>
      </w:r>
      <w:proofErr w:type="spellStart"/>
      <w:r w:rsidR="00DF2E12" w:rsidRPr="00BD7984">
        <w:rPr>
          <w:sz w:val="28"/>
          <w:szCs w:val="28"/>
        </w:rPr>
        <w:t>Україні</w:t>
      </w:r>
      <w:proofErr w:type="spellEnd"/>
      <w:r w:rsidR="00DF2E12" w:rsidRPr="00BD7984">
        <w:rPr>
          <w:sz w:val="28"/>
          <w:szCs w:val="28"/>
        </w:rPr>
        <w:t xml:space="preserve">). </w:t>
      </w:r>
    </w:p>
    <w:tbl>
      <w:tblPr>
        <w:tblpPr w:leftFromText="180" w:rightFromText="180" w:vertAnchor="text" w:horzAnchor="margin" w:tblpY="30"/>
        <w:tblW w:w="0" w:type="auto"/>
        <w:tblLayout w:type="fixed"/>
        <w:tblLook w:val="0000" w:firstRow="0" w:lastRow="0" w:firstColumn="0" w:lastColumn="0" w:noHBand="0" w:noVBand="0"/>
      </w:tblPr>
      <w:tblGrid>
        <w:gridCol w:w="1947"/>
        <w:gridCol w:w="1416"/>
        <w:gridCol w:w="1275"/>
      </w:tblGrid>
      <w:tr w:rsidR="00EE73CE" w:rsidRPr="00BD7984" w:rsidTr="00A26B6D">
        <w:trPr>
          <w:trHeight w:hRule="exact" w:val="1130"/>
        </w:trPr>
        <w:tc>
          <w:tcPr>
            <w:tcW w:w="463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40277" w:rsidRDefault="00940277" w:rsidP="005720B2">
            <w:pPr>
              <w:pStyle w:val="1"/>
              <w:spacing w:after="6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5720B2" w:rsidRDefault="00EE73CE" w:rsidP="005720B2">
            <w:pPr>
              <w:pStyle w:val="1"/>
              <w:spacing w:after="60"/>
              <w:jc w:val="center"/>
              <w:rPr>
                <w:b/>
                <w:sz w:val="28"/>
                <w:szCs w:val="28"/>
                <w:lang w:val="uk-UA"/>
              </w:rPr>
            </w:pPr>
            <w:r w:rsidRPr="00BD7984">
              <w:rPr>
                <w:b/>
                <w:sz w:val="28"/>
                <w:szCs w:val="28"/>
                <w:lang w:val="uk-UA"/>
              </w:rPr>
              <w:t>Використання бензину моторного</w:t>
            </w:r>
          </w:p>
          <w:p w:rsidR="00EE73CE" w:rsidRPr="00BD7984" w:rsidRDefault="00CC0523" w:rsidP="000230E6">
            <w:pPr>
              <w:pStyle w:val="1"/>
              <w:spacing w:after="60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за</w:t>
            </w:r>
            <w:r w:rsidR="00EE73CE" w:rsidRPr="00BD7984">
              <w:rPr>
                <w:b/>
                <w:sz w:val="28"/>
                <w:szCs w:val="28"/>
                <w:lang w:val="uk-UA"/>
              </w:rPr>
              <w:t xml:space="preserve"> окремими регіонами</w:t>
            </w:r>
          </w:p>
        </w:tc>
      </w:tr>
      <w:tr w:rsidR="00EE73CE" w:rsidRPr="00BD7984" w:rsidTr="00A26B6D">
        <w:trPr>
          <w:trHeight w:val="1137"/>
        </w:trPr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3CE" w:rsidRPr="00BD7984" w:rsidRDefault="00EE73CE" w:rsidP="00ED4313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3CE" w:rsidRPr="00BD7984" w:rsidRDefault="00EE73CE" w:rsidP="00ED4313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Бензин     моторний,</w:t>
            </w:r>
          </w:p>
          <w:p w:rsidR="00EE73CE" w:rsidRPr="00BD7984" w:rsidRDefault="00EE73CE" w:rsidP="00863621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тис.т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73CE" w:rsidRPr="00BD7984" w:rsidRDefault="00EE73CE" w:rsidP="00ED4313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У % до</w:t>
            </w:r>
          </w:p>
          <w:p w:rsidR="00EE73CE" w:rsidRPr="00BD7984" w:rsidRDefault="00C43E8F" w:rsidP="00B01822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201</w:t>
            </w:r>
            <w:r w:rsidR="00B01822">
              <w:rPr>
                <w:sz w:val="24"/>
                <w:szCs w:val="24"/>
                <w:lang w:val="uk-UA"/>
              </w:rPr>
              <w:t>5</w:t>
            </w:r>
            <w:r w:rsidR="00EE73CE" w:rsidRPr="00BD7984">
              <w:rPr>
                <w:sz w:val="24"/>
                <w:szCs w:val="24"/>
                <w:lang w:val="uk-UA"/>
              </w:rPr>
              <w:t>р.</w:t>
            </w:r>
          </w:p>
        </w:tc>
      </w:tr>
      <w:tr w:rsidR="00EE73CE" w:rsidRPr="00BD7984" w:rsidTr="005C2343">
        <w:trPr>
          <w:trHeight w:val="340"/>
        </w:trPr>
        <w:tc>
          <w:tcPr>
            <w:tcW w:w="19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73CE" w:rsidRPr="00BD7984" w:rsidRDefault="00EE73CE" w:rsidP="00ED4313">
            <w:pPr>
              <w:pStyle w:val="1"/>
              <w:spacing w:before="240"/>
              <w:jc w:val="both"/>
              <w:rPr>
                <w:b/>
                <w:sz w:val="24"/>
                <w:szCs w:val="24"/>
                <w:lang w:val="uk-UA"/>
              </w:rPr>
            </w:pPr>
            <w:r w:rsidRPr="00BD7984">
              <w:rPr>
                <w:b/>
                <w:sz w:val="24"/>
                <w:szCs w:val="24"/>
                <w:lang w:val="uk-UA"/>
              </w:rPr>
              <w:t xml:space="preserve">Україна  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73CE" w:rsidRPr="00BD7984" w:rsidRDefault="001F626D" w:rsidP="00392D50">
            <w:pPr>
              <w:pStyle w:val="1"/>
              <w:spacing w:before="24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2229,4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C2343" w:rsidRDefault="005C2343" w:rsidP="00392D50">
            <w:pPr>
              <w:jc w:val="right"/>
              <w:rPr>
                <w:rFonts w:cs="Arial CYR"/>
                <w:b/>
                <w:sz w:val="24"/>
                <w:szCs w:val="24"/>
              </w:rPr>
            </w:pPr>
          </w:p>
          <w:p w:rsidR="00EE73CE" w:rsidRPr="00BD7984" w:rsidRDefault="001F626D" w:rsidP="00392D50">
            <w:pPr>
              <w:jc w:val="right"/>
              <w:rPr>
                <w:rFonts w:cs="Arial CYR"/>
                <w:b/>
                <w:sz w:val="24"/>
                <w:szCs w:val="24"/>
              </w:rPr>
            </w:pPr>
            <w:r>
              <w:rPr>
                <w:rFonts w:cs="Arial CYR"/>
                <w:b/>
                <w:sz w:val="24"/>
                <w:szCs w:val="24"/>
              </w:rPr>
              <w:t>94,4</w:t>
            </w:r>
          </w:p>
        </w:tc>
      </w:tr>
      <w:tr w:rsidR="00713C62" w:rsidRPr="00BD7984" w:rsidTr="005C2343">
        <w:trPr>
          <w:trHeight w:val="340"/>
        </w:trPr>
        <w:tc>
          <w:tcPr>
            <w:tcW w:w="1947" w:type="dxa"/>
            <w:shd w:val="clear" w:color="auto" w:fill="auto"/>
            <w:vAlign w:val="center"/>
          </w:tcPr>
          <w:p w:rsidR="00713C62" w:rsidRPr="00BD7984" w:rsidRDefault="00713C62" w:rsidP="00713C62">
            <w:pPr>
              <w:pStyle w:val="1"/>
              <w:spacing w:line="300" w:lineRule="exact"/>
              <w:ind w:right="-207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713C62" w:rsidRPr="00BD7984" w:rsidRDefault="001F626D" w:rsidP="00392D50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196,7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13C62" w:rsidRPr="00BD7984" w:rsidRDefault="001F626D" w:rsidP="008156D1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89,4</w:t>
            </w:r>
          </w:p>
        </w:tc>
      </w:tr>
      <w:tr w:rsidR="002850AA" w:rsidRPr="00BD7984" w:rsidTr="005C2343">
        <w:trPr>
          <w:trHeight w:val="340"/>
        </w:trPr>
        <w:tc>
          <w:tcPr>
            <w:tcW w:w="1947" w:type="dxa"/>
            <w:shd w:val="clear" w:color="auto" w:fill="auto"/>
            <w:vAlign w:val="center"/>
          </w:tcPr>
          <w:p w:rsidR="002850AA" w:rsidRPr="00BD7984" w:rsidRDefault="002850AA" w:rsidP="002850A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2850AA" w:rsidRPr="00BD7984" w:rsidRDefault="001F626D" w:rsidP="002850A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114,9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50AA" w:rsidRPr="00BD7984" w:rsidRDefault="001F626D" w:rsidP="002850A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99,1</w:t>
            </w:r>
          </w:p>
        </w:tc>
      </w:tr>
      <w:tr w:rsidR="002850AA" w:rsidRPr="00BD7984" w:rsidTr="005C2343">
        <w:trPr>
          <w:trHeight w:val="340"/>
        </w:trPr>
        <w:tc>
          <w:tcPr>
            <w:tcW w:w="1947" w:type="dxa"/>
            <w:shd w:val="clear" w:color="auto" w:fill="auto"/>
            <w:vAlign w:val="center"/>
          </w:tcPr>
          <w:p w:rsidR="002850AA" w:rsidRPr="00BD7984" w:rsidRDefault="002850AA" w:rsidP="002850A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2850AA" w:rsidRPr="00BD7984" w:rsidRDefault="001F626D" w:rsidP="002850A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161,2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50AA" w:rsidRPr="00BD7984" w:rsidRDefault="001F626D" w:rsidP="002850A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85,1</w:t>
            </w:r>
          </w:p>
        </w:tc>
      </w:tr>
      <w:tr w:rsidR="002850AA" w:rsidRPr="00BD7984" w:rsidTr="005C2343">
        <w:trPr>
          <w:trHeight w:val="340"/>
        </w:trPr>
        <w:tc>
          <w:tcPr>
            <w:tcW w:w="1947" w:type="dxa"/>
            <w:shd w:val="clear" w:color="auto" w:fill="auto"/>
            <w:vAlign w:val="center"/>
          </w:tcPr>
          <w:p w:rsidR="002850AA" w:rsidRPr="00BD7984" w:rsidRDefault="002850AA" w:rsidP="002850A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2850AA" w:rsidRPr="00BD7984" w:rsidRDefault="001F626D" w:rsidP="002850A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158,9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50AA" w:rsidRPr="00BD7984" w:rsidRDefault="001F626D" w:rsidP="002850A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110,1</w:t>
            </w:r>
          </w:p>
        </w:tc>
      </w:tr>
      <w:tr w:rsidR="002850AA" w:rsidRPr="00BD7984" w:rsidTr="005C2343">
        <w:trPr>
          <w:trHeight w:val="340"/>
        </w:trPr>
        <w:tc>
          <w:tcPr>
            <w:tcW w:w="1947" w:type="dxa"/>
            <w:shd w:val="clear" w:color="auto" w:fill="auto"/>
            <w:vAlign w:val="center"/>
          </w:tcPr>
          <w:p w:rsidR="002850AA" w:rsidRPr="00BD7984" w:rsidRDefault="002850AA" w:rsidP="002850A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2850AA" w:rsidRPr="00BD7984" w:rsidRDefault="001F626D" w:rsidP="002850A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171,3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50AA" w:rsidRPr="00BD7984" w:rsidRDefault="001F626D" w:rsidP="002850A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100,4</w:t>
            </w:r>
          </w:p>
        </w:tc>
      </w:tr>
      <w:tr w:rsidR="002850AA" w:rsidRPr="00BD7984" w:rsidTr="005C2343">
        <w:trPr>
          <w:trHeight w:val="340"/>
        </w:trPr>
        <w:tc>
          <w:tcPr>
            <w:tcW w:w="1947" w:type="dxa"/>
            <w:shd w:val="clear" w:color="auto" w:fill="auto"/>
            <w:vAlign w:val="center"/>
          </w:tcPr>
          <w:p w:rsidR="002850AA" w:rsidRPr="00BD7984" w:rsidRDefault="002850AA" w:rsidP="002850A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2850AA" w:rsidRPr="00BD7984" w:rsidRDefault="001F626D" w:rsidP="002850A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88,2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50AA" w:rsidRPr="00BD7984" w:rsidRDefault="001F626D" w:rsidP="002850A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92,9</w:t>
            </w:r>
          </w:p>
        </w:tc>
      </w:tr>
      <w:tr w:rsidR="002850AA" w:rsidRPr="00BD7984" w:rsidTr="005C2343">
        <w:trPr>
          <w:trHeight w:val="340"/>
        </w:trPr>
        <w:tc>
          <w:tcPr>
            <w:tcW w:w="1947" w:type="dxa"/>
            <w:shd w:val="clear" w:color="auto" w:fill="auto"/>
            <w:vAlign w:val="center"/>
          </w:tcPr>
          <w:p w:rsidR="002850AA" w:rsidRPr="00BD7984" w:rsidRDefault="002850AA" w:rsidP="002850A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2850AA" w:rsidRPr="00BD7984" w:rsidRDefault="001F626D" w:rsidP="002850A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116,1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50AA" w:rsidRPr="00BD7984" w:rsidRDefault="001F626D" w:rsidP="002850A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89,7</w:t>
            </w:r>
          </w:p>
        </w:tc>
      </w:tr>
      <w:tr w:rsidR="002850AA" w:rsidRPr="00BD7984" w:rsidTr="005C2343">
        <w:trPr>
          <w:trHeight w:val="340"/>
        </w:trPr>
        <w:tc>
          <w:tcPr>
            <w:tcW w:w="1947" w:type="dxa"/>
            <w:shd w:val="clear" w:color="auto" w:fill="auto"/>
            <w:vAlign w:val="center"/>
          </w:tcPr>
          <w:p w:rsidR="002850AA" w:rsidRPr="00BD7984" w:rsidRDefault="002850AA" w:rsidP="002850AA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2850AA" w:rsidRPr="00BD7984" w:rsidRDefault="001F626D" w:rsidP="002850AA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88,5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850AA" w:rsidRPr="00BD7984" w:rsidRDefault="001F626D" w:rsidP="002850A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93,1</w:t>
            </w:r>
          </w:p>
        </w:tc>
      </w:tr>
      <w:tr w:rsidR="00713C62" w:rsidRPr="00BD7984" w:rsidTr="005C2343">
        <w:trPr>
          <w:trHeight w:val="340"/>
        </w:trPr>
        <w:tc>
          <w:tcPr>
            <w:tcW w:w="1947" w:type="dxa"/>
            <w:shd w:val="clear" w:color="auto" w:fill="auto"/>
            <w:vAlign w:val="center"/>
          </w:tcPr>
          <w:p w:rsidR="00713C62" w:rsidRPr="00BD7984" w:rsidRDefault="00713C62" w:rsidP="00713C62">
            <w:pPr>
              <w:pStyle w:val="1"/>
              <w:spacing w:line="300" w:lineRule="exact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1416" w:type="dxa"/>
            <w:shd w:val="clear" w:color="auto" w:fill="auto"/>
            <w:vAlign w:val="center"/>
          </w:tcPr>
          <w:p w:rsidR="00713C62" w:rsidRPr="00BD7984" w:rsidRDefault="001F626D" w:rsidP="00713C62">
            <w:pPr>
              <w:pStyle w:val="1"/>
              <w:spacing w:line="300" w:lineRule="exact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227,9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13C62" w:rsidRPr="00BD7984" w:rsidRDefault="001F626D" w:rsidP="00392D50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87,2</w:t>
            </w:r>
          </w:p>
        </w:tc>
      </w:tr>
    </w:tbl>
    <w:p w:rsidR="00584AE0" w:rsidRDefault="00584AE0" w:rsidP="002E6F0B">
      <w:pPr>
        <w:tabs>
          <w:tab w:val="left" w:pos="709"/>
        </w:tabs>
        <w:spacing w:line="350" w:lineRule="exact"/>
        <w:jc w:val="both"/>
        <w:rPr>
          <w:sz w:val="28"/>
          <w:szCs w:val="28"/>
        </w:rPr>
      </w:pPr>
      <w:r w:rsidRPr="00584AE0">
        <w:rPr>
          <w:sz w:val="28"/>
          <w:szCs w:val="28"/>
        </w:rPr>
        <w:t xml:space="preserve">           </w:t>
      </w:r>
      <w:r w:rsidR="00A9224A" w:rsidRPr="00BD7984">
        <w:rPr>
          <w:sz w:val="28"/>
          <w:szCs w:val="28"/>
        </w:rPr>
        <w:t xml:space="preserve">Питома вага </w:t>
      </w:r>
      <w:r w:rsidR="00DF2E12" w:rsidRPr="00BD7984">
        <w:rPr>
          <w:sz w:val="28"/>
          <w:szCs w:val="28"/>
        </w:rPr>
        <w:t>підпри</w:t>
      </w:r>
      <w:r w:rsidR="00496759" w:rsidRPr="00BD7984">
        <w:rPr>
          <w:sz w:val="28"/>
          <w:szCs w:val="28"/>
        </w:rPr>
        <w:t>ємств і</w:t>
      </w:r>
      <w:r w:rsidR="002A5D68" w:rsidRPr="00BD7984">
        <w:rPr>
          <w:sz w:val="28"/>
          <w:szCs w:val="28"/>
        </w:rPr>
        <w:t xml:space="preserve"> організацій </w:t>
      </w:r>
      <w:proofErr w:type="spellStart"/>
      <w:r w:rsidR="002A5D68" w:rsidRPr="00BD7984">
        <w:rPr>
          <w:sz w:val="28"/>
          <w:szCs w:val="28"/>
        </w:rPr>
        <w:t>м.Києва</w:t>
      </w:r>
      <w:proofErr w:type="spellEnd"/>
      <w:r w:rsidR="00B41A44" w:rsidRPr="00BD7984">
        <w:rPr>
          <w:sz w:val="28"/>
          <w:szCs w:val="28"/>
        </w:rPr>
        <w:t xml:space="preserve"> становила</w:t>
      </w:r>
      <w:r w:rsidR="00267579" w:rsidRPr="00BD7984">
        <w:rPr>
          <w:sz w:val="28"/>
          <w:szCs w:val="28"/>
        </w:rPr>
        <w:t xml:space="preserve"> 1</w:t>
      </w:r>
      <w:r w:rsidR="00032E13">
        <w:rPr>
          <w:sz w:val="28"/>
          <w:szCs w:val="28"/>
        </w:rPr>
        <w:t>0</w:t>
      </w:r>
      <w:r w:rsidR="00267579" w:rsidRPr="00BD7984">
        <w:rPr>
          <w:sz w:val="28"/>
          <w:szCs w:val="28"/>
        </w:rPr>
        <w:t xml:space="preserve">%, Дніпропетровської області – </w:t>
      </w:r>
      <w:r w:rsidR="00713C62">
        <w:rPr>
          <w:sz w:val="28"/>
          <w:szCs w:val="28"/>
        </w:rPr>
        <w:t>9</w:t>
      </w:r>
      <w:r w:rsidR="00267579" w:rsidRPr="00BD7984">
        <w:rPr>
          <w:sz w:val="28"/>
          <w:szCs w:val="28"/>
        </w:rPr>
        <w:t xml:space="preserve">%, </w:t>
      </w:r>
      <w:r w:rsidR="00032E13" w:rsidRPr="00BD7984">
        <w:rPr>
          <w:sz w:val="28"/>
          <w:szCs w:val="28"/>
        </w:rPr>
        <w:t xml:space="preserve">Одеської </w:t>
      </w:r>
      <w:r w:rsidR="00267579" w:rsidRPr="00BD7984">
        <w:rPr>
          <w:sz w:val="28"/>
          <w:szCs w:val="28"/>
        </w:rPr>
        <w:t>–</w:t>
      </w:r>
      <w:r w:rsidR="0025030A">
        <w:rPr>
          <w:sz w:val="28"/>
          <w:szCs w:val="28"/>
        </w:rPr>
        <w:t xml:space="preserve"> 8</w:t>
      </w:r>
      <w:r w:rsidR="00267579" w:rsidRPr="00BD7984">
        <w:rPr>
          <w:sz w:val="28"/>
          <w:szCs w:val="28"/>
        </w:rPr>
        <w:t>%</w:t>
      </w:r>
      <w:r w:rsidR="002A5D68" w:rsidRPr="00BD7984">
        <w:rPr>
          <w:sz w:val="28"/>
          <w:szCs w:val="28"/>
        </w:rPr>
        <w:t>,</w:t>
      </w:r>
      <w:r w:rsidR="00200C21" w:rsidRPr="00BD7984">
        <w:rPr>
          <w:sz w:val="28"/>
          <w:szCs w:val="28"/>
        </w:rPr>
        <w:t xml:space="preserve"> </w:t>
      </w:r>
      <w:r w:rsidR="00032E13" w:rsidRPr="00BD7984">
        <w:rPr>
          <w:sz w:val="28"/>
          <w:szCs w:val="28"/>
        </w:rPr>
        <w:t xml:space="preserve">Київської </w:t>
      </w:r>
      <w:r w:rsidR="00032E13">
        <w:rPr>
          <w:sz w:val="28"/>
          <w:szCs w:val="28"/>
        </w:rPr>
        <w:t xml:space="preserve">та </w:t>
      </w:r>
      <w:r w:rsidR="00032E13" w:rsidRPr="00BD7984">
        <w:rPr>
          <w:sz w:val="28"/>
          <w:szCs w:val="28"/>
        </w:rPr>
        <w:t xml:space="preserve">Львівської </w:t>
      </w:r>
      <w:r w:rsidR="00C02769" w:rsidRPr="00BD7984">
        <w:rPr>
          <w:sz w:val="28"/>
          <w:szCs w:val="28"/>
        </w:rPr>
        <w:t>–</w:t>
      </w:r>
      <w:r w:rsidR="005E36A4" w:rsidRPr="00BD7984">
        <w:rPr>
          <w:sz w:val="28"/>
          <w:szCs w:val="28"/>
        </w:rPr>
        <w:t xml:space="preserve"> </w:t>
      </w:r>
      <w:r w:rsidR="00032E13">
        <w:rPr>
          <w:sz w:val="28"/>
          <w:szCs w:val="28"/>
        </w:rPr>
        <w:t xml:space="preserve">по </w:t>
      </w:r>
      <w:r w:rsidR="0025030A">
        <w:rPr>
          <w:sz w:val="28"/>
          <w:szCs w:val="28"/>
        </w:rPr>
        <w:t>7</w:t>
      </w:r>
      <w:r w:rsidR="00586A82" w:rsidRPr="00BD7984">
        <w:rPr>
          <w:sz w:val="28"/>
          <w:szCs w:val="28"/>
        </w:rPr>
        <w:t>%,</w:t>
      </w:r>
      <w:r w:rsidR="00200C21" w:rsidRPr="00BD7984">
        <w:rPr>
          <w:sz w:val="28"/>
          <w:szCs w:val="28"/>
        </w:rPr>
        <w:t xml:space="preserve"> </w:t>
      </w:r>
      <w:r w:rsidR="00032E13" w:rsidRPr="00BD7984">
        <w:rPr>
          <w:sz w:val="28"/>
          <w:szCs w:val="28"/>
        </w:rPr>
        <w:t>Харківської</w:t>
      </w:r>
      <w:r w:rsidR="00032E13">
        <w:rPr>
          <w:sz w:val="28"/>
          <w:szCs w:val="28"/>
        </w:rPr>
        <w:t xml:space="preserve">  та</w:t>
      </w:r>
      <w:r w:rsidR="00032E13" w:rsidRPr="000A5D7F">
        <w:rPr>
          <w:sz w:val="28"/>
          <w:szCs w:val="28"/>
        </w:rPr>
        <w:t xml:space="preserve"> </w:t>
      </w:r>
      <w:r w:rsidR="00032E13">
        <w:rPr>
          <w:sz w:val="28"/>
          <w:szCs w:val="28"/>
        </w:rPr>
        <w:t xml:space="preserve">Запорізької </w:t>
      </w:r>
      <w:r w:rsidR="0025030A" w:rsidRPr="00BD7984">
        <w:rPr>
          <w:sz w:val="28"/>
          <w:szCs w:val="28"/>
        </w:rPr>
        <w:t>–</w:t>
      </w:r>
      <w:r w:rsidR="00032E13">
        <w:rPr>
          <w:sz w:val="28"/>
          <w:szCs w:val="28"/>
        </w:rPr>
        <w:t xml:space="preserve"> </w:t>
      </w:r>
      <w:r w:rsidR="000A5D7F">
        <w:rPr>
          <w:sz w:val="28"/>
          <w:szCs w:val="28"/>
        </w:rPr>
        <w:t>по</w:t>
      </w:r>
      <w:r w:rsidR="009A0563">
        <w:rPr>
          <w:sz w:val="28"/>
          <w:szCs w:val="28"/>
        </w:rPr>
        <w:t xml:space="preserve"> </w:t>
      </w:r>
      <w:r w:rsidR="0070013A" w:rsidRPr="00BD7984">
        <w:rPr>
          <w:sz w:val="28"/>
          <w:szCs w:val="28"/>
        </w:rPr>
        <w:t>5</w:t>
      </w:r>
      <w:r w:rsidR="00435F21" w:rsidRPr="00BD7984">
        <w:rPr>
          <w:sz w:val="28"/>
          <w:szCs w:val="28"/>
        </w:rPr>
        <w:t xml:space="preserve">%, </w:t>
      </w:r>
      <w:r w:rsidR="00140777">
        <w:rPr>
          <w:sz w:val="28"/>
          <w:szCs w:val="28"/>
        </w:rPr>
        <w:t xml:space="preserve"> </w:t>
      </w:r>
      <w:r w:rsidR="003B777D" w:rsidRPr="00BD7984">
        <w:rPr>
          <w:sz w:val="28"/>
          <w:szCs w:val="28"/>
        </w:rPr>
        <w:t>Полтавської</w:t>
      </w:r>
      <w:r w:rsidR="009A0563">
        <w:rPr>
          <w:sz w:val="28"/>
          <w:szCs w:val="28"/>
        </w:rPr>
        <w:t xml:space="preserve"> та</w:t>
      </w:r>
      <w:r w:rsidR="003B777D" w:rsidRPr="00BD7984">
        <w:rPr>
          <w:sz w:val="28"/>
          <w:szCs w:val="28"/>
        </w:rPr>
        <w:t xml:space="preserve"> </w:t>
      </w:r>
      <w:r w:rsidR="00140777">
        <w:rPr>
          <w:sz w:val="28"/>
          <w:szCs w:val="28"/>
        </w:rPr>
        <w:t xml:space="preserve"> </w:t>
      </w:r>
      <w:r w:rsidR="009A0563">
        <w:rPr>
          <w:sz w:val="28"/>
          <w:szCs w:val="28"/>
        </w:rPr>
        <w:t xml:space="preserve">Черкаської </w:t>
      </w:r>
      <w:r w:rsidR="003B777D" w:rsidRPr="00BD7984">
        <w:rPr>
          <w:sz w:val="28"/>
          <w:szCs w:val="28"/>
        </w:rPr>
        <w:t>областей</w:t>
      </w:r>
      <w:r w:rsidR="00A074C1" w:rsidRPr="00BD7984">
        <w:rPr>
          <w:sz w:val="28"/>
          <w:szCs w:val="28"/>
        </w:rPr>
        <w:t xml:space="preserve"> –</w:t>
      </w:r>
      <w:r w:rsidR="003B777D" w:rsidRPr="00BD7984">
        <w:rPr>
          <w:sz w:val="28"/>
          <w:szCs w:val="28"/>
        </w:rPr>
        <w:t xml:space="preserve"> по</w:t>
      </w:r>
      <w:r w:rsidR="00435F21" w:rsidRPr="00BD7984">
        <w:rPr>
          <w:sz w:val="28"/>
          <w:szCs w:val="28"/>
        </w:rPr>
        <w:t xml:space="preserve"> </w:t>
      </w:r>
      <w:r w:rsidR="0070013A" w:rsidRPr="00BD7984">
        <w:rPr>
          <w:sz w:val="28"/>
          <w:szCs w:val="28"/>
        </w:rPr>
        <w:t>4</w:t>
      </w:r>
      <w:r w:rsidR="00435F21" w:rsidRPr="00BD7984">
        <w:rPr>
          <w:sz w:val="28"/>
          <w:szCs w:val="28"/>
        </w:rPr>
        <w:t>%.</w:t>
      </w:r>
    </w:p>
    <w:p w:rsidR="002C0869" w:rsidRDefault="00584AE0" w:rsidP="002E6F0B">
      <w:pPr>
        <w:tabs>
          <w:tab w:val="left" w:pos="709"/>
        </w:tabs>
        <w:spacing w:line="350" w:lineRule="exact"/>
        <w:jc w:val="both"/>
        <w:rPr>
          <w:sz w:val="28"/>
          <w:szCs w:val="28"/>
        </w:rPr>
      </w:pPr>
      <w:r w:rsidRPr="00584AE0">
        <w:rPr>
          <w:sz w:val="28"/>
          <w:szCs w:val="28"/>
        </w:rPr>
        <w:t xml:space="preserve">        </w:t>
      </w:r>
      <w:r w:rsidR="002A5D68" w:rsidRPr="00BD7984">
        <w:rPr>
          <w:sz w:val="28"/>
          <w:szCs w:val="28"/>
        </w:rPr>
        <w:t xml:space="preserve"> </w:t>
      </w:r>
      <w:r w:rsidRPr="00584AE0">
        <w:rPr>
          <w:sz w:val="28"/>
          <w:szCs w:val="28"/>
        </w:rPr>
        <w:t xml:space="preserve"> </w:t>
      </w:r>
      <w:r w:rsidR="00CB4D38" w:rsidRPr="00BD7984">
        <w:rPr>
          <w:sz w:val="28"/>
          <w:szCs w:val="28"/>
        </w:rPr>
        <w:t xml:space="preserve">Скорочення обсягів використання бензину моторного спостерігалося </w:t>
      </w:r>
      <w:r w:rsidR="00200C21" w:rsidRPr="00BD7984">
        <w:rPr>
          <w:sz w:val="28"/>
          <w:szCs w:val="28"/>
        </w:rPr>
        <w:t xml:space="preserve">у </w:t>
      </w:r>
      <w:r w:rsidR="00032E13">
        <w:rPr>
          <w:sz w:val="28"/>
          <w:szCs w:val="28"/>
        </w:rPr>
        <w:t>більшості</w:t>
      </w:r>
      <w:r w:rsidR="00E36A80" w:rsidRPr="00BD7984">
        <w:rPr>
          <w:sz w:val="28"/>
          <w:szCs w:val="28"/>
        </w:rPr>
        <w:t xml:space="preserve"> регіон</w:t>
      </w:r>
      <w:r w:rsidR="00032E13">
        <w:rPr>
          <w:sz w:val="28"/>
          <w:szCs w:val="28"/>
        </w:rPr>
        <w:t>ів</w:t>
      </w:r>
      <w:r w:rsidR="002850AA">
        <w:rPr>
          <w:sz w:val="28"/>
          <w:szCs w:val="28"/>
        </w:rPr>
        <w:t xml:space="preserve">, </w:t>
      </w:r>
      <w:r w:rsidR="0070013A" w:rsidRPr="005720B2">
        <w:rPr>
          <w:sz w:val="28"/>
          <w:szCs w:val="28"/>
        </w:rPr>
        <w:t>с</w:t>
      </w:r>
      <w:r w:rsidR="00CB4D38" w:rsidRPr="005720B2">
        <w:rPr>
          <w:sz w:val="28"/>
          <w:szCs w:val="28"/>
        </w:rPr>
        <w:t xml:space="preserve">еред </w:t>
      </w:r>
      <w:r w:rsidR="0070013A" w:rsidRPr="005720B2">
        <w:rPr>
          <w:sz w:val="28"/>
          <w:szCs w:val="28"/>
        </w:rPr>
        <w:t>яких</w:t>
      </w:r>
      <w:r w:rsidR="00CB4D38" w:rsidRPr="00BD7984">
        <w:rPr>
          <w:sz w:val="28"/>
          <w:szCs w:val="28"/>
        </w:rPr>
        <w:t xml:space="preserve"> найбільше</w:t>
      </w:r>
      <w:r w:rsidR="0070013A" w:rsidRPr="00BD7984">
        <w:rPr>
          <w:sz w:val="28"/>
          <w:szCs w:val="28"/>
        </w:rPr>
        <w:t xml:space="preserve"> </w:t>
      </w:r>
      <w:r w:rsidR="001607D2">
        <w:rPr>
          <w:sz w:val="28"/>
          <w:szCs w:val="28"/>
        </w:rPr>
        <w:t>в</w:t>
      </w:r>
      <w:r w:rsidR="009C23AD" w:rsidRPr="005720B2">
        <w:rPr>
          <w:sz w:val="28"/>
          <w:szCs w:val="28"/>
        </w:rPr>
        <w:t xml:space="preserve"> </w:t>
      </w:r>
      <w:r w:rsidR="00032E13">
        <w:rPr>
          <w:sz w:val="28"/>
          <w:szCs w:val="28"/>
        </w:rPr>
        <w:t>Київсь</w:t>
      </w:r>
      <w:r w:rsidR="009C23AD" w:rsidRPr="009C23AD">
        <w:rPr>
          <w:sz w:val="28"/>
          <w:szCs w:val="28"/>
        </w:rPr>
        <w:t xml:space="preserve">кій (на </w:t>
      </w:r>
      <w:r w:rsidR="00032E13">
        <w:rPr>
          <w:sz w:val="28"/>
          <w:szCs w:val="28"/>
        </w:rPr>
        <w:t>15</w:t>
      </w:r>
      <w:r w:rsidR="009C23AD" w:rsidRPr="009C23AD">
        <w:rPr>
          <w:sz w:val="28"/>
          <w:szCs w:val="28"/>
        </w:rPr>
        <w:t xml:space="preserve">%), </w:t>
      </w:r>
      <w:proofErr w:type="spellStart"/>
      <w:r w:rsidR="009A0563">
        <w:rPr>
          <w:sz w:val="28"/>
          <w:szCs w:val="28"/>
        </w:rPr>
        <w:t>м.Києві</w:t>
      </w:r>
      <w:proofErr w:type="spellEnd"/>
      <w:r w:rsidR="009A0563">
        <w:rPr>
          <w:sz w:val="28"/>
          <w:szCs w:val="28"/>
        </w:rPr>
        <w:t xml:space="preserve"> </w:t>
      </w:r>
      <w:r w:rsidR="009A0563" w:rsidRPr="00BD7984">
        <w:rPr>
          <w:sz w:val="28"/>
          <w:szCs w:val="28"/>
        </w:rPr>
        <w:t xml:space="preserve">(на </w:t>
      </w:r>
      <w:r w:rsidR="00032E13">
        <w:rPr>
          <w:sz w:val="28"/>
          <w:szCs w:val="28"/>
        </w:rPr>
        <w:t>13</w:t>
      </w:r>
      <w:r w:rsidR="009A0563" w:rsidRPr="00BD7984">
        <w:rPr>
          <w:sz w:val="28"/>
          <w:szCs w:val="28"/>
        </w:rPr>
        <w:t>%)</w:t>
      </w:r>
      <w:r w:rsidR="009A0563">
        <w:rPr>
          <w:sz w:val="28"/>
          <w:szCs w:val="28"/>
        </w:rPr>
        <w:t>,</w:t>
      </w:r>
      <w:r w:rsidR="009A0563" w:rsidRPr="009A0563">
        <w:rPr>
          <w:sz w:val="28"/>
          <w:szCs w:val="28"/>
        </w:rPr>
        <w:t xml:space="preserve"> </w:t>
      </w:r>
      <w:r w:rsidR="005C2343">
        <w:rPr>
          <w:sz w:val="28"/>
          <w:szCs w:val="28"/>
        </w:rPr>
        <w:t>Чернігівсь</w:t>
      </w:r>
      <w:r w:rsidR="009A0563">
        <w:rPr>
          <w:sz w:val="28"/>
          <w:szCs w:val="28"/>
        </w:rPr>
        <w:t>кій</w:t>
      </w:r>
      <w:r w:rsidR="009A0563" w:rsidRPr="00BD7984">
        <w:rPr>
          <w:sz w:val="28"/>
          <w:szCs w:val="28"/>
        </w:rPr>
        <w:t xml:space="preserve"> </w:t>
      </w:r>
      <w:r w:rsidR="009A0563">
        <w:rPr>
          <w:sz w:val="28"/>
          <w:szCs w:val="28"/>
        </w:rPr>
        <w:t>та Вінницькій</w:t>
      </w:r>
      <w:r w:rsidR="009A0563" w:rsidRPr="00BD7984">
        <w:rPr>
          <w:sz w:val="28"/>
          <w:szCs w:val="28"/>
        </w:rPr>
        <w:t xml:space="preserve"> (на </w:t>
      </w:r>
      <w:r w:rsidR="005C2343">
        <w:rPr>
          <w:sz w:val="28"/>
          <w:szCs w:val="28"/>
        </w:rPr>
        <w:t>12</w:t>
      </w:r>
      <w:r w:rsidR="009A0563" w:rsidRPr="00BD7984">
        <w:rPr>
          <w:sz w:val="28"/>
          <w:szCs w:val="28"/>
        </w:rPr>
        <w:t>%),</w:t>
      </w:r>
      <w:r w:rsidR="00DB3907" w:rsidRPr="00BD7984">
        <w:rPr>
          <w:sz w:val="28"/>
          <w:szCs w:val="28"/>
        </w:rPr>
        <w:t xml:space="preserve"> </w:t>
      </w:r>
      <w:r w:rsidR="005C2343">
        <w:rPr>
          <w:sz w:val="28"/>
          <w:szCs w:val="28"/>
        </w:rPr>
        <w:t>Чернівецькій</w:t>
      </w:r>
      <w:r w:rsidR="009A0563">
        <w:rPr>
          <w:sz w:val="28"/>
          <w:szCs w:val="28"/>
        </w:rPr>
        <w:t xml:space="preserve"> та </w:t>
      </w:r>
      <w:r w:rsidR="005C2343">
        <w:rPr>
          <w:sz w:val="28"/>
          <w:szCs w:val="28"/>
        </w:rPr>
        <w:t>Дніпро</w:t>
      </w:r>
      <w:r w:rsidR="00140777">
        <w:rPr>
          <w:sz w:val="28"/>
          <w:szCs w:val="28"/>
        </w:rPr>
        <w:t>-</w:t>
      </w:r>
      <w:r w:rsidR="005C2343">
        <w:rPr>
          <w:sz w:val="28"/>
          <w:szCs w:val="28"/>
        </w:rPr>
        <w:t>петров</w:t>
      </w:r>
      <w:r w:rsidR="009A0563">
        <w:rPr>
          <w:sz w:val="28"/>
          <w:szCs w:val="28"/>
        </w:rPr>
        <w:t>ській</w:t>
      </w:r>
      <w:r w:rsidR="009C23AD">
        <w:rPr>
          <w:sz w:val="28"/>
          <w:szCs w:val="28"/>
        </w:rPr>
        <w:t xml:space="preserve"> </w:t>
      </w:r>
      <w:r w:rsidR="009C23AD" w:rsidRPr="00BD7984">
        <w:rPr>
          <w:sz w:val="28"/>
          <w:szCs w:val="28"/>
        </w:rPr>
        <w:t xml:space="preserve">(на </w:t>
      </w:r>
      <w:r w:rsidR="005C2343">
        <w:rPr>
          <w:sz w:val="28"/>
          <w:szCs w:val="28"/>
        </w:rPr>
        <w:t>11</w:t>
      </w:r>
      <w:r w:rsidR="009C23AD" w:rsidRPr="00BD7984">
        <w:rPr>
          <w:sz w:val="28"/>
          <w:szCs w:val="28"/>
        </w:rPr>
        <w:t>%)</w:t>
      </w:r>
      <w:r w:rsidR="00B74B3A" w:rsidRPr="00BD7984">
        <w:rPr>
          <w:sz w:val="28"/>
          <w:szCs w:val="28"/>
        </w:rPr>
        <w:t xml:space="preserve"> </w:t>
      </w:r>
      <w:r w:rsidR="009C23AD" w:rsidRPr="00BD7984">
        <w:rPr>
          <w:sz w:val="28"/>
          <w:szCs w:val="28"/>
        </w:rPr>
        <w:t>областях</w:t>
      </w:r>
      <w:r w:rsidR="00C7055B" w:rsidRPr="00BD7984">
        <w:rPr>
          <w:sz w:val="28"/>
          <w:szCs w:val="28"/>
        </w:rPr>
        <w:t>.</w:t>
      </w:r>
    </w:p>
    <w:p w:rsidR="00C20E9C" w:rsidRDefault="002C0869" w:rsidP="00DC7B82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  <w:r w:rsidRPr="002C0869">
        <w:rPr>
          <w:sz w:val="28"/>
          <w:szCs w:val="28"/>
        </w:rPr>
        <w:t xml:space="preserve">Більше половини споживання </w:t>
      </w:r>
      <w:proofErr w:type="spellStart"/>
      <w:r w:rsidRPr="002C0869">
        <w:rPr>
          <w:sz w:val="28"/>
          <w:szCs w:val="28"/>
        </w:rPr>
        <w:t>газойлів</w:t>
      </w:r>
      <w:proofErr w:type="spellEnd"/>
      <w:r w:rsidRPr="002C0869">
        <w:rPr>
          <w:sz w:val="28"/>
          <w:szCs w:val="28"/>
        </w:rPr>
        <w:t xml:space="preserve"> (</w:t>
      </w:r>
      <w:r w:rsidR="00606E6F">
        <w:rPr>
          <w:sz w:val="28"/>
          <w:szCs w:val="28"/>
        </w:rPr>
        <w:t>6</w:t>
      </w:r>
      <w:r w:rsidR="00B01822">
        <w:rPr>
          <w:sz w:val="28"/>
          <w:szCs w:val="28"/>
        </w:rPr>
        <w:t>1</w:t>
      </w:r>
      <w:r w:rsidRPr="002C0869">
        <w:rPr>
          <w:sz w:val="28"/>
          <w:szCs w:val="28"/>
        </w:rPr>
        <w:t xml:space="preserve">% від загальних обсягів) припадало на підприємства та організації </w:t>
      </w:r>
      <w:r w:rsidR="00DF2E12">
        <w:rPr>
          <w:sz w:val="28"/>
          <w:szCs w:val="28"/>
        </w:rPr>
        <w:t>1</w:t>
      </w:r>
      <w:r w:rsidR="00B01822">
        <w:rPr>
          <w:sz w:val="28"/>
          <w:szCs w:val="28"/>
        </w:rPr>
        <w:t>1</w:t>
      </w:r>
      <w:r w:rsidRPr="002C0869">
        <w:rPr>
          <w:sz w:val="28"/>
          <w:szCs w:val="28"/>
        </w:rPr>
        <w:t xml:space="preserve"> регіонів країни</w:t>
      </w:r>
      <w:r w:rsidR="00DF2E12">
        <w:rPr>
          <w:sz w:val="28"/>
          <w:szCs w:val="28"/>
        </w:rPr>
        <w:t>.</w:t>
      </w:r>
      <w:r w:rsidR="005720B2"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З них частка Дніпропетровської області становила</w:t>
      </w:r>
      <w:r w:rsidR="00606E6F">
        <w:rPr>
          <w:sz w:val="28"/>
          <w:szCs w:val="28"/>
        </w:rPr>
        <w:t xml:space="preserve"> майже</w:t>
      </w:r>
      <w:r w:rsidRPr="00BD7984">
        <w:rPr>
          <w:sz w:val="28"/>
          <w:szCs w:val="28"/>
        </w:rPr>
        <w:t xml:space="preserve"> </w:t>
      </w:r>
      <w:r w:rsidR="000230E6">
        <w:rPr>
          <w:sz w:val="28"/>
          <w:szCs w:val="28"/>
        </w:rPr>
        <w:t>10</w:t>
      </w:r>
      <w:r>
        <w:rPr>
          <w:sz w:val="28"/>
          <w:szCs w:val="28"/>
        </w:rPr>
        <w:t xml:space="preserve">%, </w:t>
      </w:r>
      <w:r w:rsidR="00B01822" w:rsidRPr="00BD7984">
        <w:rPr>
          <w:sz w:val="28"/>
          <w:szCs w:val="28"/>
        </w:rPr>
        <w:t>Одеської</w:t>
      </w:r>
      <w:r w:rsidR="00606E6F">
        <w:rPr>
          <w:sz w:val="28"/>
          <w:szCs w:val="28"/>
        </w:rPr>
        <w:t xml:space="preserve"> </w:t>
      </w:r>
      <w:r w:rsidR="000B7B2F" w:rsidRPr="00BD7984">
        <w:rPr>
          <w:sz w:val="28"/>
          <w:szCs w:val="28"/>
        </w:rPr>
        <w:t>–</w:t>
      </w:r>
      <w:r w:rsidR="000B7B2F">
        <w:rPr>
          <w:sz w:val="28"/>
          <w:szCs w:val="28"/>
        </w:rPr>
        <w:t xml:space="preserve"> 7</w:t>
      </w:r>
      <w:r w:rsidR="001E7630">
        <w:rPr>
          <w:sz w:val="28"/>
          <w:szCs w:val="28"/>
        </w:rPr>
        <w:t xml:space="preserve">%, </w:t>
      </w:r>
      <w:r w:rsidR="000B7B2F" w:rsidRPr="00BD7984">
        <w:rPr>
          <w:sz w:val="28"/>
          <w:szCs w:val="28"/>
        </w:rPr>
        <w:t>Київської,</w:t>
      </w:r>
      <w:r w:rsidR="00606E6F" w:rsidRPr="00606E6F">
        <w:rPr>
          <w:sz w:val="28"/>
          <w:szCs w:val="28"/>
        </w:rPr>
        <w:t xml:space="preserve"> </w:t>
      </w:r>
      <w:r w:rsidR="00B01822">
        <w:rPr>
          <w:sz w:val="28"/>
          <w:szCs w:val="28"/>
        </w:rPr>
        <w:t>Львівс</w:t>
      </w:r>
      <w:r w:rsidR="000A5D7F" w:rsidRPr="00BD7984">
        <w:rPr>
          <w:sz w:val="28"/>
          <w:szCs w:val="28"/>
        </w:rPr>
        <w:t>ької</w:t>
      </w:r>
      <w:r w:rsidR="000A5D7F">
        <w:rPr>
          <w:sz w:val="28"/>
          <w:szCs w:val="28"/>
        </w:rPr>
        <w:t xml:space="preserve">, </w:t>
      </w:r>
      <w:r w:rsidR="00606E6F">
        <w:rPr>
          <w:sz w:val="28"/>
          <w:szCs w:val="28"/>
        </w:rPr>
        <w:t>Полтавської</w:t>
      </w:r>
      <w:r w:rsidR="000B7B2F" w:rsidRPr="00BD7984">
        <w:rPr>
          <w:sz w:val="28"/>
          <w:szCs w:val="28"/>
        </w:rPr>
        <w:t xml:space="preserve"> областей та </w:t>
      </w:r>
      <w:proofErr w:type="spellStart"/>
      <w:r w:rsidR="000B7B2F" w:rsidRPr="00BD7984">
        <w:rPr>
          <w:sz w:val="28"/>
          <w:szCs w:val="28"/>
        </w:rPr>
        <w:t>м.Києва</w:t>
      </w:r>
      <w:proofErr w:type="spellEnd"/>
      <w:r w:rsidR="000A5D7F">
        <w:rPr>
          <w:sz w:val="28"/>
          <w:szCs w:val="28"/>
        </w:rPr>
        <w:t xml:space="preserve"> </w:t>
      </w:r>
      <w:r w:rsidR="000B7B2F" w:rsidRPr="00BD7984">
        <w:rPr>
          <w:sz w:val="28"/>
          <w:szCs w:val="28"/>
        </w:rPr>
        <w:t>– по 6%, Харківської –</w:t>
      </w:r>
      <w:r w:rsidR="000B7B2F">
        <w:rPr>
          <w:sz w:val="28"/>
          <w:szCs w:val="28"/>
        </w:rPr>
        <w:t xml:space="preserve"> 5</w:t>
      </w:r>
      <w:r w:rsidR="000B7B2F" w:rsidRPr="00BD7984">
        <w:rPr>
          <w:sz w:val="28"/>
          <w:szCs w:val="28"/>
        </w:rPr>
        <w:t>%, Вінницької</w:t>
      </w:r>
      <w:r w:rsidR="000B7B2F">
        <w:rPr>
          <w:sz w:val="28"/>
          <w:szCs w:val="28"/>
        </w:rPr>
        <w:t>,</w:t>
      </w:r>
      <w:r w:rsidR="000C2EAB">
        <w:rPr>
          <w:sz w:val="28"/>
          <w:szCs w:val="28"/>
        </w:rPr>
        <w:t xml:space="preserve"> Донецької,</w:t>
      </w:r>
      <w:r w:rsidR="000B7B2F" w:rsidRPr="00BD7984">
        <w:rPr>
          <w:sz w:val="28"/>
          <w:szCs w:val="28"/>
        </w:rPr>
        <w:t xml:space="preserve"> Запорізької</w:t>
      </w:r>
      <w:r w:rsidR="000C2EAB">
        <w:rPr>
          <w:sz w:val="28"/>
          <w:szCs w:val="28"/>
        </w:rPr>
        <w:t>,</w:t>
      </w:r>
      <w:r w:rsidR="000B7B2F" w:rsidRPr="00BD7984">
        <w:rPr>
          <w:sz w:val="28"/>
          <w:szCs w:val="28"/>
        </w:rPr>
        <w:t xml:space="preserve"> </w:t>
      </w:r>
      <w:r w:rsidR="00B01822">
        <w:rPr>
          <w:sz w:val="28"/>
          <w:szCs w:val="28"/>
        </w:rPr>
        <w:t>Кіровоградської</w:t>
      </w:r>
      <w:r w:rsidR="000A5D7F">
        <w:rPr>
          <w:sz w:val="28"/>
          <w:szCs w:val="28"/>
        </w:rPr>
        <w:t xml:space="preserve"> </w:t>
      </w:r>
      <w:r w:rsidR="000B7B2F" w:rsidRPr="00BD7984">
        <w:rPr>
          <w:sz w:val="28"/>
          <w:szCs w:val="28"/>
        </w:rPr>
        <w:t xml:space="preserve">– </w:t>
      </w:r>
      <w:r w:rsidR="00DF2E12">
        <w:rPr>
          <w:sz w:val="28"/>
          <w:szCs w:val="28"/>
        </w:rPr>
        <w:t xml:space="preserve">по </w:t>
      </w:r>
      <w:r w:rsidR="000B7B2F">
        <w:rPr>
          <w:sz w:val="28"/>
          <w:szCs w:val="28"/>
        </w:rPr>
        <w:t>4</w:t>
      </w:r>
      <w:r w:rsidR="004763FA">
        <w:rPr>
          <w:sz w:val="28"/>
          <w:szCs w:val="28"/>
        </w:rPr>
        <w:t>%</w:t>
      </w:r>
      <w:r w:rsidR="000B7B2F" w:rsidRPr="00BD7984">
        <w:rPr>
          <w:sz w:val="28"/>
          <w:szCs w:val="28"/>
        </w:rPr>
        <w:t>.</w:t>
      </w:r>
    </w:p>
    <w:p w:rsidR="005C2343" w:rsidRDefault="005C2343" w:rsidP="00DC7B82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108" w:tblpY="28"/>
        <w:tblW w:w="0" w:type="auto"/>
        <w:tblLayout w:type="fixed"/>
        <w:tblLook w:val="0000" w:firstRow="0" w:lastRow="0" w:firstColumn="0" w:lastColumn="0" w:noHBand="0" w:noVBand="0"/>
      </w:tblPr>
      <w:tblGrid>
        <w:gridCol w:w="2127"/>
        <w:gridCol w:w="1559"/>
        <w:gridCol w:w="996"/>
      </w:tblGrid>
      <w:tr w:rsidR="00D5646E" w:rsidRPr="00BD7984" w:rsidTr="00CC0523">
        <w:trPr>
          <w:trHeight w:hRule="exact" w:val="993"/>
        </w:trPr>
        <w:tc>
          <w:tcPr>
            <w:tcW w:w="46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646E" w:rsidRPr="00BD7984" w:rsidRDefault="00D5646E" w:rsidP="00CC0523">
            <w:pPr>
              <w:pStyle w:val="1"/>
              <w:spacing w:after="60"/>
              <w:jc w:val="center"/>
              <w:rPr>
                <w:sz w:val="28"/>
                <w:szCs w:val="28"/>
                <w:lang w:val="uk-UA"/>
              </w:rPr>
            </w:pPr>
            <w:r w:rsidRPr="00BD7984">
              <w:rPr>
                <w:b/>
                <w:sz w:val="28"/>
                <w:szCs w:val="28"/>
                <w:lang w:val="uk-UA"/>
              </w:rPr>
              <w:lastRenderedPageBreak/>
              <w:t xml:space="preserve">Використання </w:t>
            </w:r>
            <w:proofErr w:type="spellStart"/>
            <w:r w:rsidRPr="00BD7984">
              <w:rPr>
                <w:b/>
                <w:sz w:val="28"/>
                <w:szCs w:val="28"/>
                <w:lang w:val="uk-UA"/>
              </w:rPr>
              <w:t>газойлів</w:t>
            </w:r>
            <w:proofErr w:type="spellEnd"/>
            <w:r w:rsidRPr="00BD7984">
              <w:rPr>
                <w:b/>
                <w:sz w:val="28"/>
                <w:szCs w:val="28"/>
                <w:lang w:val="uk-UA"/>
              </w:rPr>
              <w:t xml:space="preserve"> (палива дизельного) за окремими регіонами</w:t>
            </w:r>
          </w:p>
        </w:tc>
      </w:tr>
      <w:tr w:rsidR="00D5646E" w:rsidRPr="00BD7984" w:rsidTr="00A26B6D">
        <w:trPr>
          <w:trHeight w:val="859"/>
        </w:trPr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46E" w:rsidRPr="00BD7984" w:rsidRDefault="00D5646E" w:rsidP="00ED4313">
            <w:pPr>
              <w:pStyle w:val="1"/>
              <w:spacing w:line="240" w:lineRule="exact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646E" w:rsidRPr="00BD7984" w:rsidRDefault="00D5646E" w:rsidP="00ED4313">
            <w:pPr>
              <w:pStyle w:val="1"/>
              <w:spacing w:line="240" w:lineRule="exact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Газойлі</w:t>
            </w:r>
            <w:proofErr w:type="spellEnd"/>
            <w:r w:rsidRPr="00BD7984">
              <w:rPr>
                <w:sz w:val="24"/>
                <w:szCs w:val="24"/>
                <w:lang w:val="uk-UA"/>
              </w:rPr>
              <w:t xml:space="preserve"> (паливо дизельне),</w:t>
            </w:r>
          </w:p>
          <w:p w:rsidR="00D5646E" w:rsidRPr="00BD7984" w:rsidRDefault="00D5646E" w:rsidP="00863621">
            <w:pPr>
              <w:pStyle w:val="1"/>
              <w:spacing w:line="240" w:lineRule="exact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тис.т</w:t>
            </w:r>
            <w:proofErr w:type="spellEnd"/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646E" w:rsidRPr="00BD7984" w:rsidRDefault="00D5646E" w:rsidP="00ED4313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У % до</w:t>
            </w:r>
          </w:p>
          <w:p w:rsidR="00D5646E" w:rsidRPr="00BD7984" w:rsidRDefault="00C43E8F" w:rsidP="00B01822">
            <w:pPr>
              <w:pStyle w:val="1"/>
              <w:spacing w:line="240" w:lineRule="exact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201</w:t>
            </w:r>
            <w:r w:rsidR="00B01822">
              <w:rPr>
                <w:sz w:val="24"/>
                <w:szCs w:val="24"/>
                <w:lang w:val="uk-UA"/>
              </w:rPr>
              <w:t>5</w:t>
            </w:r>
            <w:r w:rsidR="00D5646E" w:rsidRPr="00BD7984">
              <w:rPr>
                <w:sz w:val="24"/>
                <w:szCs w:val="24"/>
                <w:lang w:val="uk-UA"/>
              </w:rPr>
              <w:t>р.</w:t>
            </w:r>
          </w:p>
        </w:tc>
      </w:tr>
      <w:tr w:rsidR="00D5646E" w:rsidRPr="00BD7984" w:rsidTr="00B01822">
        <w:trPr>
          <w:trHeight w:val="340"/>
        </w:trPr>
        <w:tc>
          <w:tcPr>
            <w:tcW w:w="212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D5646E" w:rsidRPr="00BD7984" w:rsidRDefault="00D5646E" w:rsidP="00ED4313">
            <w:pPr>
              <w:pStyle w:val="1"/>
              <w:spacing w:before="60"/>
              <w:jc w:val="both"/>
              <w:rPr>
                <w:b/>
                <w:sz w:val="24"/>
                <w:szCs w:val="24"/>
                <w:lang w:val="uk-UA"/>
              </w:rPr>
            </w:pPr>
            <w:r w:rsidRPr="00BD7984">
              <w:rPr>
                <w:b/>
                <w:sz w:val="24"/>
                <w:szCs w:val="24"/>
                <w:lang w:val="uk-UA"/>
              </w:rPr>
              <w:t xml:space="preserve">Україна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D5646E" w:rsidRPr="00BD7984" w:rsidRDefault="00FE56A2" w:rsidP="00C303B2">
            <w:pPr>
              <w:pStyle w:val="1"/>
              <w:spacing w:before="6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4968,6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D5646E" w:rsidRPr="00BD7984" w:rsidRDefault="00FE56A2" w:rsidP="00A37449">
            <w:pPr>
              <w:jc w:val="right"/>
              <w:rPr>
                <w:rFonts w:cs="Arial CYR"/>
                <w:b/>
                <w:sz w:val="24"/>
                <w:szCs w:val="24"/>
              </w:rPr>
            </w:pPr>
            <w:r>
              <w:rPr>
                <w:rFonts w:cs="Arial CYR"/>
                <w:b/>
                <w:sz w:val="24"/>
                <w:szCs w:val="24"/>
              </w:rPr>
              <w:t>104,1</w:t>
            </w:r>
          </w:p>
        </w:tc>
      </w:tr>
      <w:tr w:rsidR="00D5646E" w:rsidRPr="00BD7984" w:rsidTr="00B01822">
        <w:trPr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D5646E" w:rsidRPr="00BD7984" w:rsidRDefault="007577CA" w:rsidP="007577CA">
            <w:r w:rsidRPr="00BD7984">
              <w:rPr>
                <w:sz w:val="24"/>
                <w:szCs w:val="24"/>
              </w:rPr>
              <w:t>Вінницька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5646E" w:rsidRPr="00BD7984" w:rsidRDefault="00FE56A2" w:rsidP="00A37449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210,8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7577CA" w:rsidRPr="00BD7984" w:rsidRDefault="00FE56A2" w:rsidP="00A37449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103,5</w:t>
            </w:r>
          </w:p>
        </w:tc>
      </w:tr>
      <w:tr w:rsidR="007577CA" w:rsidRPr="00BD7984" w:rsidTr="00B01822">
        <w:trPr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7577CA" w:rsidRPr="00BD7984" w:rsidRDefault="007577CA" w:rsidP="007577C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577CA" w:rsidRPr="00BD7984" w:rsidRDefault="00FE56A2" w:rsidP="00C303B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472,1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7577CA" w:rsidRPr="00BD7984" w:rsidRDefault="00FE56A2" w:rsidP="00A37449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101,2</w:t>
            </w:r>
          </w:p>
        </w:tc>
      </w:tr>
      <w:tr w:rsidR="005E428A" w:rsidRPr="00BD7984" w:rsidTr="00B01822">
        <w:trPr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5E428A" w:rsidRPr="00BD7984" w:rsidRDefault="005E428A" w:rsidP="005E428A">
            <w:pPr>
              <w:pStyle w:val="1"/>
              <w:ind w:right="-10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28A" w:rsidRPr="00BD7984" w:rsidRDefault="00FE56A2" w:rsidP="005E428A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186,9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E428A" w:rsidRPr="00BD7984" w:rsidRDefault="00FE56A2" w:rsidP="005E428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103,6</w:t>
            </w:r>
          </w:p>
        </w:tc>
      </w:tr>
      <w:tr w:rsidR="005E428A" w:rsidRPr="00BD7984" w:rsidTr="00B01822">
        <w:trPr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5E428A" w:rsidRPr="00BD7984" w:rsidRDefault="005E428A" w:rsidP="005E428A">
            <w:pPr>
              <w:pStyle w:val="1"/>
              <w:ind w:right="-108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28A" w:rsidRPr="00BD7984" w:rsidRDefault="00FE56A2" w:rsidP="005E428A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204,8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E428A" w:rsidRPr="00BD7984" w:rsidRDefault="00FE56A2" w:rsidP="005E428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108,5</w:t>
            </w:r>
          </w:p>
        </w:tc>
      </w:tr>
      <w:tr w:rsidR="005E428A" w:rsidRPr="00BD7984" w:rsidTr="00B01822">
        <w:trPr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5E428A" w:rsidRPr="00BD7984" w:rsidRDefault="005E428A" w:rsidP="005E428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28A" w:rsidRPr="00BD7984" w:rsidRDefault="00FE56A2" w:rsidP="005E428A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277,7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E428A" w:rsidRPr="00BD7984" w:rsidRDefault="00FE56A2" w:rsidP="005E428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94,6</w:t>
            </w:r>
          </w:p>
        </w:tc>
      </w:tr>
      <w:tr w:rsidR="005E428A" w:rsidRPr="00BD7984" w:rsidTr="00B01822">
        <w:trPr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5E428A" w:rsidRPr="00BD7984" w:rsidRDefault="00B01822" w:rsidP="005E428A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E428A" w:rsidRPr="00BD7984" w:rsidRDefault="00FE56A2" w:rsidP="005E428A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196,1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5E428A" w:rsidRPr="00BD7984" w:rsidRDefault="00FE56A2" w:rsidP="005E428A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138,6</w:t>
            </w:r>
          </w:p>
        </w:tc>
      </w:tr>
      <w:tr w:rsidR="00B01822" w:rsidRPr="00BD7984" w:rsidTr="00B01822">
        <w:trPr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B01822" w:rsidRPr="00BD7984" w:rsidRDefault="00B01822" w:rsidP="00B01822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1822" w:rsidRPr="00BD7984" w:rsidRDefault="00FE56A2" w:rsidP="00B0182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310,8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B01822" w:rsidRPr="00BD7984" w:rsidRDefault="00FE56A2" w:rsidP="00B01822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98,2</w:t>
            </w:r>
          </w:p>
        </w:tc>
      </w:tr>
      <w:tr w:rsidR="00B01822" w:rsidRPr="00BD7984" w:rsidTr="00B01822">
        <w:trPr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B01822" w:rsidRPr="00BD7984" w:rsidRDefault="00B01822" w:rsidP="00B01822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1822" w:rsidRPr="00BD7984" w:rsidRDefault="00FE56A2" w:rsidP="00B0182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322,4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B01822" w:rsidRPr="00BD7984" w:rsidRDefault="00FE56A2" w:rsidP="00B01822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104,8</w:t>
            </w:r>
          </w:p>
        </w:tc>
      </w:tr>
      <w:tr w:rsidR="00B01822" w:rsidRPr="00BD7984" w:rsidTr="00B01822">
        <w:trPr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B01822" w:rsidRPr="00BD7984" w:rsidRDefault="00B01822" w:rsidP="00B01822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1822" w:rsidRPr="00BD7984" w:rsidRDefault="00FE56A2" w:rsidP="00B0182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312,4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B01822" w:rsidRPr="00BD7984" w:rsidRDefault="00FE56A2" w:rsidP="00B01822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105,1</w:t>
            </w:r>
          </w:p>
        </w:tc>
      </w:tr>
      <w:tr w:rsidR="00B01822" w:rsidRPr="00BD7984" w:rsidTr="00B01822">
        <w:trPr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B01822" w:rsidRPr="00BD7984" w:rsidRDefault="00B01822" w:rsidP="00B01822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01822" w:rsidRPr="00BD7984" w:rsidRDefault="00FE56A2" w:rsidP="00B0182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265,9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B01822" w:rsidRPr="00BD7984" w:rsidRDefault="00FE56A2" w:rsidP="00B01822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110,5</w:t>
            </w:r>
          </w:p>
        </w:tc>
      </w:tr>
      <w:tr w:rsidR="00B01822" w:rsidRPr="00BD7984" w:rsidTr="00B01822">
        <w:trPr>
          <w:trHeight w:val="340"/>
        </w:trPr>
        <w:tc>
          <w:tcPr>
            <w:tcW w:w="2127" w:type="dxa"/>
            <w:shd w:val="clear" w:color="auto" w:fill="auto"/>
            <w:vAlign w:val="center"/>
          </w:tcPr>
          <w:p w:rsidR="00B01822" w:rsidRPr="00BD7984" w:rsidRDefault="00B01822" w:rsidP="00B01822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м.Київ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:rsidR="00B01822" w:rsidRPr="00BD7984" w:rsidRDefault="00FE56A2" w:rsidP="00B01822">
            <w:pPr>
              <w:pStyle w:val="1"/>
              <w:jc w:val="right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279,5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B01822" w:rsidRPr="00BD7984" w:rsidRDefault="00FE56A2" w:rsidP="00B01822">
            <w:pPr>
              <w:jc w:val="right"/>
              <w:rPr>
                <w:rFonts w:cs="Arial CYR"/>
                <w:sz w:val="24"/>
                <w:szCs w:val="24"/>
              </w:rPr>
            </w:pPr>
            <w:r>
              <w:rPr>
                <w:rFonts w:cs="Arial CYR"/>
                <w:sz w:val="24"/>
                <w:szCs w:val="24"/>
              </w:rPr>
              <w:t>95,8</w:t>
            </w:r>
          </w:p>
        </w:tc>
      </w:tr>
    </w:tbl>
    <w:p w:rsidR="005C2343" w:rsidRDefault="005C2343" w:rsidP="00A26B6D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</w:p>
    <w:p w:rsidR="00A26B6D" w:rsidRPr="00BD7984" w:rsidRDefault="00A26B6D" w:rsidP="00A26B6D">
      <w:pPr>
        <w:tabs>
          <w:tab w:val="left" w:pos="709"/>
        </w:tabs>
        <w:spacing w:line="350" w:lineRule="exact"/>
        <w:ind w:firstLine="709"/>
        <w:jc w:val="both"/>
        <w:rPr>
          <w:sz w:val="28"/>
          <w:szCs w:val="28"/>
        </w:rPr>
      </w:pPr>
      <w:r w:rsidRPr="00F31330">
        <w:rPr>
          <w:sz w:val="28"/>
          <w:szCs w:val="28"/>
        </w:rPr>
        <w:lastRenderedPageBreak/>
        <w:t>Най</w:t>
      </w:r>
      <w:r>
        <w:rPr>
          <w:sz w:val="28"/>
          <w:szCs w:val="28"/>
        </w:rPr>
        <w:t>вагомі</w:t>
      </w:r>
      <w:r w:rsidRPr="00F31330">
        <w:rPr>
          <w:sz w:val="28"/>
          <w:szCs w:val="28"/>
        </w:rPr>
        <w:t>ше</w:t>
      </w:r>
      <w:r w:rsidRPr="00BD7984">
        <w:rPr>
          <w:sz w:val="28"/>
          <w:szCs w:val="28"/>
        </w:rPr>
        <w:t xml:space="preserve"> </w:t>
      </w:r>
      <w:r w:rsidR="001E7630">
        <w:rPr>
          <w:sz w:val="28"/>
          <w:szCs w:val="28"/>
        </w:rPr>
        <w:t>збіль</w:t>
      </w:r>
      <w:r w:rsidRPr="00BD7984">
        <w:rPr>
          <w:sz w:val="28"/>
          <w:szCs w:val="28"/>
        </w:rPr>
        <w:t>шення обсягів використання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газойлів</w:t>
      </w:r>
      <w:proofErr w:type="spellEnd"/>
      <w:r w:rsidRPr="000B7B2F"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>відбулося в</w:t>
      </w:r>
      <w:r w:rsidR="001E7630">
        <w:rPr>
          <w:sz w:val="28"/>
          <w:szCs w:val="28"/>
        </w:rPr>
        <w:t xml:space="preserve"> Луганській (</w:t>
      </w:r>
      <w:r w:rsidR="001607D2">
        <w:rPr>
          <w:sz w:val="28"/>
          <w:szCs w:val="28"/>
        </w:rPr>
        <w:t>у</w:t>
      </w:r>
      <w:r w:rsidR="001E7630">
        <w:rPr>
          <w:sz w:val="28"/>
          <w:szCs w:val="28"/>
        </w:rPr>
        <w:t xml:space="preserve"> 2 </w:t>
      </w:r>
      <w:r w:rsidR="001607D2">
        <w:rPr>
          <w:sz w:val="28"/>
          <w:szCs w:val="28"/>
        </w:rPr>
        <w:t>рази</w:t>
      </w:r>
      <w:r w:rsidR="001E7630">
        <w:rPr>
          <w:sz w:val="28"/>
          <w:szCs w:val="28"/>
        </w:rPr>
        <w:t>)</w:t>
      </w:r>
      <w:r w:rsidR="00A13614">
        <w:rPr>
          <w:sz w:val="28"/>
          <w:szCs w:val="28"/>
        </w:rPr>
        <w:t>,</w:t>
      </w:r>
      <w:r w:rsidRPr="00BD7984">
        <w:rPr>
          <w:sz w:val="28"/>
          <w:szCs w:val="28"/>
        </w:rPr>
        <w:t xml:space="preserve"> </w:t>
      </w:r>
      <w:r w:rsidR="001E7630">
        <w:rPr>
          <w:sz w:val="28"/>
          <w:szCs w:val="28"/>
        </w:rPr>
        <w:t>Кіровоградській</w:t>
      </w:r>
      <w:r w:rsidR="001E7630" w:rsidRPr="00BD7984"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 xml:space="preserve">(на </w:t>
      </w:r>
      <w:r w:rsidR="001E7630">
        <w:rPr>
          <w:sz w:val="28"/>
          <w:szCs w:val="28"/>
        </w:rPr>
        <w:t>3</w:t>
      </w:r>
      <w:r>
        <w:rPr>
          <w:sz w:val="28"/>
          <w:szCs w:val="28"/>
        </w:rPr>
        <w:t>9</w:t>
      </w:r>
      <w:r w:rsidRPr="00BD7984">
        <w:rPr>
          <w:sz w:val="28"/>
          <w:szCs w:val="28"/>
        </w:rPr>
        <w:t xml:space="preserve">%), </w:t>
      </w:r>
      <w:r w:rsidR="001E7630">
        <w:rPr>
          <w:sz w:val="28"/>
          <w:szCs w:val="28"/>
        </w:rPr>
        <w:t>Миколаївській</w:t>
      </w:r>
      <w:r>
        <w:rPr>
          <w:sz w:val="28"/>
          <w:szCs w:val="28"/>
        </w:rPr>
        <w:t xml:space="preserve"> (на 1</w:t>
      </w:r>
      <w:r w:rsidR="001E7630">
        <w:rPr>
          <w:sz w:val="28"/>
          <w:szCs w:val="28"/>
        </w:rPr>
        <w:t>6</w:t>
      </w:r>
      <w:r w:rsidRPr="00BD7984">
        <w:rPr>
          <w:sz w:val="28"/>
          <w:szCs w:val="28"/>
        </w:rPr>
        <w:t>%)</w:t>
      </w:r>
      <w:r>
        <w:rPr>
          <w:sz w:val="28"/>
          <w:szCs w:val="28"/>
        </w:rPr>
        <w:t>,</w:t>
      </w:r>
      <w:r w:rsidR="001E7630">
        <w:rPr>
          <w:sz w:val="28"/>
          <w:szCs w:val="28"/>
        </w:rPr>
        <w:t xml:space="preserve"> Херсонській (на 12%), Харківській (на 11%)</w:t>
      </w:r>
      <w:r w:rsidRPr="003305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r w:rsidR="001E7630">
        <w:rPr>
          <w:sz w:val="28"/>
          <w:szCs w:val="28"/>
        </w:rPr>
        <w:t>Запоріз</w:t>
      </w:r>
      <w:r>
        <w:rPr>
          <w:sz w:val="28"/>
          <w:szCs w:val="28"/>
        </w:rPr>
        <w:t>ькій</w:t>
      </w:r>
      <w:r w:rsidRPr="00330585">
        <w:t xml:space="preserve"> </w:t>
      </w:r>
      <w:r>
        <w:rPr>
          <w:sz w:val="28"/>
          <w:szCs w:val="28"/>
        </w:rPr>
        <w:t xml:space="preserve">(на </w:t>
      </w:r>
      <w:r w:rsidR="001E7630">
        <w:rPr>
          <w:sz w:val="28"/>
          <w:szCs w:val="28"/>
        </w:rPr>
        <w:t>9</w:t>
      </w:r>
      <w:r>
        <w:rPr>
          <w:sz w:val="28"/>
          <w:szCs w:val="28"/>
        </w:rPr>
        <w:t>%)</w:t>
      </w:r>
      <w:r w:rsidR="000A5D7F" w:rsidRPr="000A5D7F">
        <w:rPr>
          <w:sz w:val="28"/>
          <w:szCs w:val="28"/>
        </w:rPr>
        <w:t xml:space="preserve"> </w:t>
      </w:r>
      <w:r w:rsidR="000A5D7F" w:rsidRPr="00330585">
        <w:rPr>
          <w:sz w:val="28"/>
          <w:szCs w:val="28"/>
        </w:rPr>
        <w:t>областях</w:t>
      </w:r>
      <w:r w:rsidRPr="00BD798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</w:p>
    <w:p w:rsidR="00D5646E" w:rsidRPr="00BD7984" w:rsidRDefault="00025E2C" w:rsidP="00025E2C">
      <w:pPr>
        <w:tabs>
          <w:tab w:val="left" w:pos="5580"/>
        </w:tabs>
        <w:spacing w:line="360" w:lineRule="exact"/>
        <w:ind w:firstLine="720"/>
        <w:jc w:val="both"/>
        <w:rPr>
          <w:sz w:val="28"/>
          <w:szCs w:val="28"/>
        </w:rPr>
      </w:pPr>
      <w:r w:rsidRPr="00772459">
        <w:rPr>
          <w:sz w:val="28"/>
          <w:szCs w:val="28"/>
        </w:rPr>
        <w:t>Вагомими споживачами</w:t>
      </w:r>
      <w:r w:rsidRPr="00BD7984">
        <w:rPr>
          <w:sz w:val="28"/>
          <w:szCs w:val="28"/>
        </w:rPr>
        <w:t xml:space="preserve"> вугілля були підприємства й організації 8 регіонів, обсяги використання яких становили 9</w:t>
      </w:r>
      <w:r w:rsidR="001E7630">
        <w:rPr>
          <w:sz w:val="28"/>
          <w:szCs w:val="28"/>
        </w:rPr>
        <w:t>2</w:t>
      </w:r>
      <w:r w:rsidRPr="00BD7984">
        <w:rPr>
          <w:sz w:val="28"/>
          <w:szCs w:val="28"/>
        </w:rPr>
        <w:t>% від загальних по Україні.</w:t>
      </w:r>
      <w:r w:rsidRPr="00025E2C"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 xml:space="preserve">Питома вага використання вугілля підприємствами й </w:t>
      </w:r>
      <w:proofErr w:type="spellStart"/>
      <w:r w:rsidRPr="00BD7984">
        <w:rPr>
          <w:sz w:val="28"/>
          <w:szCs w:val="28"/>
        </w:rPr>
        <w:t>організа</w:t>
      </w:r>
      <w:r w:rsidR="00140777">
        <w:rPr>
          <w:sz w:val="28"/>
          <w:szCs w:val="28"/>
        </w:rPr>
        <w:t>-</w:t>
      </w:r>
      <w:r w:rsidRPr="00BD7984">
        <w:rPr>
          <w:sz w:val="28"/>
          <w:szCs w:val="28"/>
        </w:rPr>
        <w:t>ціями</w:t>
      </w:r>
      <w:proofErr w:type="spellEnd"/>
      <w:r w:rsidRPr="00BD7984">
        <w:rPr>
          <w:sz w:val="28"/>
          <w:szCs w:val="28"/>
        </w:rPr>
        <w:t xml:space="preserve"> Донецької області склала </w:t>
      </w:r>
      <w:r>
        <w:rPr>
          <w:sz w:val="28"/>
          <w:szCs w:val="28"/>
        </w:rPr>
        <w:t>3</w:t>
      </w:r>
      <w:r w:rsidR="007D221C">
        <w:rPr>
          <w:sz w:val="28"/>
          <w:szCs w:val="28"/>
        </w:rPr>
        <w:t>3</w:t>
      </w:r>
      <w:r w:rsidRPr="00BD7984">
        <w:rPr>
          <w:sz w:val="28"/>
          <w:szCs w:val="28"/>
        </w:rPr>
        <w:t xml:space="preserve">%, Дніпропетровської </w:t>
      </w:r>
      <w:bookmarkStart w:id="0" w:name="OLE_LINK1"/>
      <w:r w:rsidRPr="00BD7984">
        <w:rPr>
          <w:sz w:val="28"/>
          <w:szCs w:val="28"/>
        </w:rPr>
        <w:t xml:space="preserve">– </w:t>
      </w:r>
      <w:bookmarkEnd w:id="0"/>
      <w:r w:rsidR="001E7630">
        <w:rPr>
          <w:sz w:val="28"/>
          <w:szCs w:val="28"/>
        </w:rPr>
        <w:t>21</w:t>
      </w:r>
      <w:r w:rsidRPr="00BD7984">
        <w:rPr>
          <w:sz w:val="28"/>
          <w:szCs w:val="28"/>
        </w:rPr>
        <w:t>%, Івано-Франківської –</w:t>
      </w:r>
      <w:r w:rsidR="000A5D7F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1E7630">
        <w:rPr>
          <w:sz w:val="28"/>
          <w:szCs w:val="28"/>
        </w:rPr>
        <w:t>0</w:t>
      </w:r>
      <w:r w:rsidRPr="00BD7984">
        <w:rPr>
          <w:sz w:val="28"/>
          <w:szCs w:val="28"/>
        </w:rPr>
        <w:t xml:space="preserve">%, Запорізької – </w:t>
      </w:r>
      <w:r w:rsidR="001E7630">
        <w:rPr>
          <w:sz w:val="28"/>
          <w:szCs w:val="28"/>
        </w:rPr>
        <w:t>9</w:t>
      </w:r>
      <w:r>
        <w:rPr>
          <w:sz w:val="28"/>
          <w:szCs w:val="28"/>
        </w:rPr>
        <w:t>%,</w:t>
      </w:r>
      <w:r w:rsidRPr="001C29E3">
        <w:rPr>
          <w:sz w:val="28"/>
          <w:szCs w:val="28"/>
        </w:rPr>
        <w:t xml:space="preserve"> </w:t>
      </w:r>
      <w:r w:rsidR="007D221C" w:rsidRPr="00BD7984">
        <w:rPr>
          <w:sz w:val="28"/>
          <w:szCs w:val="28"/>
        </w:rPr>
        <w:t xml:space="preserve">Луганської – </w:t>
      </w:r>
      <w:r w:rsidR="001E7630">
        <w:rPr>
          <w:sz w:val="28"/>
          <w:szCs w:val="28"/>
        </w:rPr>
        <w:t>8</w:t>
      </w:r>
      <w:r w:rsidR="007D221C" w:rsidRPr="00BD7984">
        <w:rPr>
          <w:sz w:val="28"/>
          <w:szCs w:val="28"/>
        </w:rPr>
        <w:t xml:space="preserve">%, </w:t>
      </w:r>
      <w:r w:rsidRPr="00BD7984">
        <w:rPr>
          <w:sz w:val="28"/>
          <w:szCs w:val="28"/>
        </w:rPr>
        <w:t>Вінницької</w:t>
      </w:r>
      <w:r>
        <w:rPr>
          <w:sz w:val="28"/>
          <w:szCs w:val="28"/>
        </w:rPr>
        <w:t xml:space="preserve"> </w:t>
      </w:r>
      <w:r w:rsidR="007D221C" w:rsidRPr="00BD7984">
        <w:rPr>
          <w:sz w:val="28"/>
          <w:szCs w:val="28"/>
        </w:rPr>
        <w:t xml:space="preserve">– </w:t>
      </w:r>
      <w:r w:rsidR="00E92B4B">
        <w:rPr>
          <w:sz w:val="28"/>
          <w:szCs w:val="28"/>
        </w:rPr>
        <w:t>5</w:t>
      </w:r>
      <w:r w:rsidR="007D221C" w:rsidRPr="00BD7984">
        <w:rPr>
          <w:sz w:val="28"/>
          <w:szCs w:val="28"/>
        </w:rPr>
        <w:t>%,</w:t>
      </w:r>
      <w:r w:rsidR="007D221C">
        <w:rPr>
          <w:sz w:val="28"/>
          <w:szCs w:val="28"/>
        </w:rPr>
        <w:t xml:space="preserve"> </w:t>
      </w:r>
      <w:r w:rsidR="00E92B4B">
        <w:rPr>
          <w:sz w:val="28"/>
          <w:szCs w:val="28"/>
        </w:rPr>
        <w:t>Харк</w:t>
      </w:r>
      <w:r w:rsidR="007D221C">
        <w:rPr>
          <w:sz w:val="28"/>
          <w:szCs w:val="28"/>
        </w:rPr>
        <w:t>івської</w:t>
      </w:r>
      <w:r w:rsidR="007D221C" w:rsidRPr="00BD7984">
        <w:rPr>
          <w:sz w:val="28"/>
          <w:szCs w:val="28"/>
        </w:rPr>
        <w:t xml:space="preserve"> </w:t>
      </w:r>
      <w:r w:rsidRPr="00BD7984">
        <w:rPr>
          <w:sz w:val="28"/>
          <w:szCs w:val="28"/>
        </w:rPr>
        <w:t xml:space="preserve">та Київської – </w:t>
      </w:r>
      <w:r w:rsidR="000A5D7F">
        <w:rPr>
          <w:sz w:val="28"/>
          <w:szCs w:val="28"/>
        </w:rPr>
        <w:t xml:space="preserve">по </w:t>
      </w:r>
      <w:r w:rsidRPr="00BD7984">
        <w:rPr>
          <w:sz w:val="28"/>
          <w:szCs w:val="28"/>
        </w:rPr>
        <w:t>3%.</w:t>
      </w:r>
    </w:p>
    <w:tbl>
      <w:tblPr>
        <w:tblpPr w:leftFromText="180" w:rightFromText="180" w:vertAnchor="text" w:horzAnchor="margin" w:tblpXSpec="right" w:tblpY="1786"/>
        <w:tblW w:w="0" w:type="auto"/>
        <w:tblLayout w:type="fixed"/>
        <w:tblLook w:val="0000" w:firstRow="0" w:lastRow="0" w:firstColumn="0" w:lastColumn="0" w:noHBand="0" w:noVBand="0"/>
      </w:tblPr>
      <w:tblGrid>
        <w:gridCol w:w="2080"/>
        <w:gridCol w:w="1213"/>
        <w:gridCol w:w="1299"/>
      </w:tblGrid>
      <w:tr w:rsidR="00D5646E" w:rsidRPr="00BD7984" w:rsidTr="00873100">
        <w:trPr>
          <w:trHeight w:val="544"/>
        </w:trPr>
        <w:tc>
          <w:tcPr>
            <w:tcW w:w="45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5646E" w:rsidRPr="00BD7984" w:rsidRDefault="00D5646E" w:rsidP="00ED4313">
            <w:pPr>
              <w:pStyle w:val="1"/>
              <w:spacing w:after="120" w:line="280" w:lineRule="exact"/>
              <w:ind w:left="-180" w:right="-108"/>
              <w:jc w:val="center"/>
              <w:rPr>
                <w:b/>
                <w:sz w:val="28"/>
                <w:szCs w:val="28"/>
                <w:lang w:val="uk-UA"/>
              </w:rPr>
            </w:pPr>
            <w:r w:rsidRPr="00BD7984">
              <w:rPr>
                <w:b/>
                <w:sz w:val="28"/>
                <w:szCs w:val="28"/>
                <w:lang w:val="uk-UA"/>
              </w:rPr>
              <w:t xml:space="preserve">Використання вугілля за окремими регіонами   </w:t>
            </w:r>
          </w:p>
        </w:tc>
      </w:tr>
      <w:tr w:rsidR="00D5646E" w:rsidRPr="00BD7984" w:rsidTr="00873100">
        <w:trPr>
          <w:trHeight w:val="417"/>
        </w:trPr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46E" w:rsidRPr="00BD7984" w:rsidRDefault="00D5646E" w:rsidP="00ED4313">
            <w:pPr>
              <w:pStyle w:val="1"/>
              <w:ind w:firstLine="709"/>
              <w:rPr>
                <w:sz w:val="24"/>
                <w:szCs w:val="24"/>
                <w:lang w:val="uk-UA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46E" w:rsidRPr="00BD7984" w:rsidRDefault="00D5646E" w:rsidP="00ED4313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Вугілля,</w:t>
            </w:r>
          </w:p>
          <w:p w:rsidR="00D5646E" w:rsidRPr="00BD7984" w:rsidRDefault="00D5646E" w:rsidP="00863621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D7984">
              <w:rPr>
                <w:sz w:val="24"/>
                <w:szCs w:val="24"/>
                <w:lang w:val="uk-UA"/>
              </w:rPr>
              <w:t>тис.т</w:t>
            </w:r>
            <w:proofErr w:type="spell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5646E" w:rsidRPr="00BD7984" w:rsidRDefault="00D5646E" w:rsidP="00ED4313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У % до</w:t>
            </w:r>
          </w:p>
          <w:p w:rsidR="00D5646E" w:rsidRPr="00BD7984" w:rsidRDefault="00D5646E" w:rsidP="00773E25">
            <w:pPr>
              <w:pStyle w:val="1"/>
              <w:jc w:val="center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20</w:t>
            </w:r>
            <w:r w:rsidR="00CD0871" w:rsidRPr="00BD7984">
              <w:rPr>
                <w:sz w:val="24"/>
                <w:szCs w:val="24"/>
                <w:lang w:val="uk-UA"/>
              </w:rPr>
              <w:t>1</w:t>
            </w:r>
            <w:r w:rsidR="00773E25">
              <w:rPr>
                <w:sz w:val="24"/>
                <w:szCs w:val="24"/>
                <w:lang w:val="uk-UA"/>
              </w:rPr>
              <w:t>5</w:t>
            </w:r>
            <w:r w:rsidRPr="00BD7984">
              <w:rPr>
                <w:sz w:val="24"/>
                <w:szCs w:val="24"/>
                <w:lang w:val="uk-UA"/>
              </w:rPr>
              <w:t>р.</w:t>
            </w:r>
          </w:p>
        </w:tc>
      </w:tr>
      <w:tr w:rsidR="00D5646E" w:rsidRPr="00BD7984" w:rsidTr="00B01822">
        <w:trPr>
          <w:trHeight w:val="340"/>
        </w:trPr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5646E" w:rsidRPr="00BD7984" w:rsidRDefault="00D5646E" w:rsidP="00ED4313">
            <w:pPr>
              <w:pStyle w:val="1"/>
              <w:spacing w:before="120"/>
              <w:rPr>
                <w:b/>
                <w:sz w:val="24"/>
                <w:szCs w:val="24"/>
                <w:lang w:val="uk-UA"/>
              </w:rPr>
            </w:pPr>
            <w:r w:rsidRPr="00BD7984">
              <w:rPr>
                <w:b/>
                <w:sz w:val="24"/>
                <w:szCs w:val="24"/>
                <w:lang w:val="uk-UA"/>
              </w:rPr>
              <w:t xml:space="preserve">Україна  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5646E" w:rsidRPr="00BD7984" w:rsidRDefault="00FF3C81" w:rsidP="00ED4313">
            <w:pPr>
              <w:pStyle w:val="1"/>
              <w:spacing w:before="12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48680,3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D5646E" w:rsidRPr="00BD7984" w:rsidRDefault="00FF3C81" w:rsidP="001C29E3">
            <w:pPr>
              <w:pStyle w:val="1"/>
              <w:spacing w:before="120"/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107,5</w:t>
            </w:r>
          </w:p>
        </w:tc>
      </w:tr>
      <w:tr w:rsidR="00D5646E" w:rsidRPr="00BD7984" w:rsidTr="00B01822">
        <w:trPr>
          <w:trHeight w:val="340"/>
        </w:trPr>
        <w:tc>
          <w:tcPr>
            <w:tcW w:w="2080" w:type="dxa"/>
            <w:shd w:val="clear" w:color="auto" w:fill="auto"/>
            <w:vAlign w:val="bottom"/>
          </w:tcPr>
          <w:p w:rsidR="00D5646E" w:rsidRPr="00BD7984" w:rsidRDefault="00EC5035" w:rsidP="00ED4313">
            <w:pPr>
              <w:pStyle w:val="1"/>
              <w:ind w:right="-245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D5646E" w:rsidRPr="00BD7984" w:rsidRDefault="00FF3C81" w:rsidP="001C29E3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2201,1</w:t>
            </w:r>
          </w:p>
        </w:tc>
        <w:tc>
          <w:tcPr>
            <w:tcW w:w="1297" w:type="dxa"/>
            <w:shd w:val="clear" w:color="auto" w:fill="FFFFFF"/>
            <w:vAlign w:val="bottom"/>
          </w:tcPr>
          <w:p w:rsidR="00D5646E" w:rsidRPr="00BD7984" w:rsidRDefault="00FF3C81" w:rsidP="00DE0771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75,5</w:t>
            </w:r>
          </w:p>
        </w:tc>
      </w:tr>
      <w:tr w:rsidR="00EC5035" w:rsidRPr="00BD7984" w:rsidTr="00B01822">
        <w:trPr>
          <w:trHeight w:val="340"/>
        </w:trPr>
        <w:tc>
          <w:tcPr>
            <w:tcW w:w="2080" w:type="dxa"/>
            <w:shd w:val="clear" w:color="auto" w:fill="auto"/>
            <w:vAlign w:val="bottom"/>
          </w:tcPr>
          <w:p w:rsidR="00EC5035" w:rsidRPr="00BD7984" w:rsidRDefault="00EC5035" w:rsidP="00EC5035">
            <w:pPr>
              <w:pStyle w:val="1"/>
              <w:ind w:right="-245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EC5035" w:rsidRPr="00BD7984" w:rsidRDefault="00FF3C81" w:rsidP="00EC5035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10253,9</w:t>
            </w:r>
          </w:p>
        </w:tc>
        <w:tc>
          <w:tcPr>
            <w:tcW w:w="1297" w:type="dxa"/>
            <w:shd w:val="clear" w:color="auto" w:fill="FFFFFF"/>
            <w:vAlign w:val="bottom"/>
          </w:tcPr>
          <w:p w:rsidR="00EC5035" w:rsidRPr="00BD7984" w:rsidRDefault="00FF3C81" w:rsidP="00EC5035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124,5</w:t>
            </w:r>
          </w:p>
        </w:tc>
      </w:tr>
      <w:tr w:rsidR="00EC5035" w:rsidRPr="00BD7984" w:rsidTr="00B01822">
        <w:trPr>
          <w:trHeight w:val="340"/>
        </w:trPr>
        <w:tc>
          <w:tcPr>
            <w:tcW w:w="2080" w:type="dxa"/>
            <w:shd w:val="clear" w:color="auto" w:fill="auto"/>
            <w:vAlign w:val="bottom"/>
          </w:tcPr>
          <w:p w:rsidR="00EC5035" w:rsidRPr="00BD7984" w:rsidRDefault="00EC5035" w:rsidP="00EC5035">
            <w:pPr>
              <w:pStyle w:val="1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EC5035" w:rsidRPr="00BD7984" w:rsidRDefault="00FF3C81" w:rsidP="00EC5035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16172,0</w:t>
            </w:r>
          </w:p>
        </w:tc>
        <w:tc>
          <w:tcPr>
            <w:tcW w:w="1297" w:type="dxa"/>
            <w:shd w:val="clear" w:color="auto" w:fill="FFFFFF"/>
            <w:vAlign w:val="bottom"/>
          </w:tcPr>
          <w:p w:rsidR="00EC5035" w:rsidRPr="00BD7984" w:rsidRDefault="00FF3C81" w:rsidP="00EC5035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106,7</w:t>
            </w:r>
          </w:p>
        </w:tc>
      </w:tr>
      <w:tr w:rsidR="00EC5035" w:rsidRPr="00BD7984" w:rsidTr="00B01822">
        <w:trPr>
          <w:trHeight w:val="340"/>
        </w:trPr>
        <w:tc>
          <w:tcPr>
            <w:tcW w:w="2080" w:type="dxa"/>
            <w:shd w:val="clear" w:color="auto" w:fill="auto"/>
            <w:vAlign w:val="bottom"/>
          </w:tcPr>
          <w:p w:rsidR="00EC5035" w:rsidRPr="00BD7984" w:rsidRDefault="00EC5035" w:rsidP="00EC5035">
            <w:pPr>
              <w:pStyle w:val="1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EC5035" w:rsidRPr="00BD7984" w:rsidRDefault="00FF3C81" w:rsidP="00EC5035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4264,1</w:t>
            </w:r>
          </w:p>
        </w:tc>
        <w:tc>
          <w:tcPr>
            <w:tcW w:w="1297" w:type="dxa"/>
            <w:shd w:val="clear" w:color="auto" w:fill="FFFFFF"/>
            <w:vAlign w:val="bottom"/>
          </w:tcPr>
          <w:p w:rsidR="00EC5035" w:rsidRPr="00BD7984" w:rsidRDefault="00FF3C81" w:rsidP="00EC5035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93,3</w:t>
            </w:r>
          </w:p>
        </w:tc>
      </w:tr>
      <w:tr w:rsidR="00EC5035" w:rsidRPr="00BD7984" w:rsidTr="00B01822">
        <w:trPr>
          <w:trHeight w:val="340"/>
        </w:trPr>
        <w:tc>
          <w:tcPr>
            <w:tcW w:w="2080" w:type="dxa"/>
            <w:shd w:val="clear" w:color="auto" w:fill="auto"/>
            <w:vAlign w:val="bottom"/>
          </w:tcPr>
          <w:p w:rsidR="00EC5035" w:rsidRPr="00BD7984" w:rsidRDefault="00EC5035" w:rsidP="00EC5035">
            <w:pPr>
              <w:pStyle w:val="1"/>
              <w:ind w:right="-245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EC5035" w:rsidRPr="00BD7984" w:rsidRDefault="00FF3C81" w:rsidP="00EC5035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4787,4</w:t>
            </w:r>
          </w:p>
        </w:tc>
        <w:tc>
          <w:tcPr>
            <w:tcW w:w="1297" w:type="dxa"/>
            <w:shd w:val="clear" w:color="auto" w:fill="FFFFFF"/>
            <w:vAlign w:val="bottom"/>
          </w:tcPr>
          <w:p w:rsidR="00EC5035" w:rsidRPr="00BD7984" w:rsidRDefault="00FF3C81" w:rsidP="00EC5035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91,7</w:t>
            </w:r>
          </w:p>
        </w:tc>
      </w:tr>
      <w:tr w:rsidR="00EC5035" w:rsidRPr="00BD7984" w:rsidTr="00B01822">
        <w:trPr>
          <w:trHeight w:val="340"/>
        </w:trPr>
        <w:tc>
          <w:tcPr>
            <w:tcW w:w="2080" w:type="dxa"/>
            <w:shd w:val="clear" w:color="auto" w:fill="auto"/>
            <w:vAlign w:val="bottom"/>
          </w:tcPr>
          <w:p w:rsidR="00EC5035" w:rsidRPr="00BD7984" w:rsidRDefault="00DE0771" w:rsidP="00DE0771">
            <w:pPr>
              <w:pStyle w:val="1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Київ</w:t>
            </w:r>
            <w:r w:rsidR="00EC5035" w:rsidRPr="00BD7984">
              <w:rPr>
                <w:sz w:val="24"/>
                <w:szCs w:val="24"/>
                <w:lang w:val="uk-UA"/>
              </w:rPr>
              <w:t>ська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EC5035" w:rsidRPr="00BD7984" w:rsidRDefault="00FF3C81" w:rsidP="00EC5035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1460,9</w:t>
            </w:r>
          </w:p>
        </w:tc>
        <w:tc>
          <w:tcPr>
            <w:tcW w:w="1297" w:type="dxa"/>
            <w:shd w:val="clear" w:color="auto" w:fill="FFFFFF"/>
            <w:vAlign w:val="bottom"/>
          </w:tcPr>
          <w:p w:rsidR="00EC5035" w:rsidRPr="00BD7984" w:rsidRDefault="00FF3C81" w:rsidP="00167AA2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</w:tr>
      <w:tr w:rsidR="00DE0771" w:rsidRPr="00BD7984" w:rsidTr="00B01822">
        <w:trPr>
          <w:trHeight w:val="340"/>
        </w:trPr>
        <w:tc>
          <w:tcPr>
            <w:tcW w:w="2080" w:type="dxa"/>
            <w:shd w:val="clear" w:color="auto" w:fill="auto"/>
            <w:vAlign w:val="bottom"/>
          </w:tcPr>
          <w:p w:rsidR="00DE0771" w:rsidRPr="00BD7984" w:rsidRDefault="00DE0771" w:rsidP="00DE0771">
            <w:pPr>
              <w:pStyle w:val="1"/>
              <w:rPr>
                <w:sz w:val="24"/>
                <w:szCs w:val="24"/>
                <w:lang w:val="uk-UA"/>
              </w:rPr>
            </w:pPr>
            <w:r w:rsidRPr="00BD7984">
              <w:rPr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DE0771" w:rsidRPr="00BD7984" w:rsidRDefault="00FF3C81" w:rsidP="00DE0771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3810,1</w:t>
            </w:r>
          </w:p>
        </w:tc>
        <w:tc>
          <w:tcPr>
            <w:tcW w:w="1297" w:type="dxa"/>
            <w:shd w:val="clear" w:color="auto" w:fill="FFFFFF"/>
            <w:vAlign w:val="bottom"/>
          </w:tcPr>
          <w:p w:rsidR="00DE0771" w:rsidRPr="00BD7984" w:rsidRDefault="00FF3C81" w:rsidP="00167AA2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116,7</w:t>
            </w:r>
          </w:p>
        </w:tc>
      </w:tr>
      <w:tr w:rsidR="00EC5035" w:rsidRPr="00BD7984" w:rsidTr="00B01822">
        <w:trPr>
          <w:trHeight w:val="340"/>
        </w:trPr>
        <w:tc>
          <w:tcPr>
            <w:tcW w:w="2080" w:type="dxa"/>
            <w:shd w:val="clear" w:color="auto" w:fill="auto"/>
            <w:vAlign w:val="bottom"/>
          </w:tcPr>
          <w:p w:rsidR="00EC5035" w:rsidRPr="00BD7984" w:rsidRDefault="001E7630" w:rsidP="00EC5035">
            <w:pPr>
              <w:pStyle w:val="1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1213" w:type="dxa"/>
            <w:shd w:val="clear" w:color="auto" w:fill="auto"/>
            <w:vAlign w:val="bottom"/>
          </w:tcPr>
          <w:p w:rsidR="00EC5035" w:rsidRPr="00BD7984" w:rsidRDefault="00FF3C81" w:rsidP="00EC5035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1702,2</w:t>
            </w:r>
          </w:p>
        </w:tc>
        <w:tc>
          <w:tcPr>
            <w:tcW w:w="1297" w:type="dxa"/>
            <w:shd w:val="clear" w:color="auto" w:fill="FFFFFF"/>
            <w:vAlign w:val="bottom"/>
          </w:tcPr>
          <w:p w:rsidR="00EC5035" w:rsidRPr="00BD7984" w:rsidRDefault="00FF3C81" w:rsidP="00167AA2">
            <w:pPr>
              <w:pStyle w:val="1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181,0</w:t>
            </w:r>
          </w:p>
        </w:tc>
      </w:tr>
    </w:tbl>
    <w:p w:rsidR="002A5D68" w:rsidRPr="00BD7984" w:rsidRDefault="00FE0CEB" w:rsidP="0074634C">
      <w:pPr>
        <w:tabs>
          <w:tab w:val="left" w:pos="5580"/>
        </w:tabs>
        <w:spacing w:line="360" w:lineRule="exact"/>
        <w:ind w:firstLine="720"/>
        <w:jc w:val="both"/>
        <w:rPr>
          <w:sz w:val="28"/>
          <w:szCs w:val="28"/>
        </w:rPr>
      </w:pPr>
      <w:r w:rsidRPr="00E7678D">
        <w:rPr>
          <w:sz w:val="28"/>
          <w:szCs w:val="28"/>
        </w:rPr>
        <w:t>Порівняно</w:t>
      </w:r>
      <w:r w:rsidRPr="00BD7984">
        <w:rPr>
          <w:sz w:val="28"/>
          <w:szCs w:val="28"/>
        </w:rPr>
        <w:t xml:space="preserve"> з </w:t>
      </w:r>
      <w:r w:rsidR="00DF2E12">
        <w:rPr>
          <w:sz w:val="28"/>
          <w:szCs w:val="28"/>
        </w:rPr>
        <w:t>201</w:t>
      </w:r>
      <w:r w:rsidR="008635D5">
        <w:rPr>
          <w:sz w:val="28"/>
          <w:szCs w:val="28"/>
        </w:rPr>
        <w:t>5</w:t>
      </w:r>
      <w:r w:rsidR="00DF2E12">
        <w:rPr>
          <w:sz w:val="28"/>
          <w:szCs w:val="28"/>
        </w:rPr>
        <w:t>р.</w:t>
      </w:r>
      <w:r w:rsidRPr="00BD7984">
        <w:rPr>
          <w:sz w:val="28"/>
          <w:szCs w:val="28"/>
        </w:rPr>
        <w:t xml:space="preserve"> </w:t>
      </w:r>
      <w:r w:rsidR="000B2F97" w:rsidRPr="00BD7984">
        <w:rPr>
          <w:sz w:val="28"/>
          <w:szCs w:val="28"/>
        </w:rPr>
        <w:t>відбулося з</w:t>
      </w:r>
      <w:r w:rsidR="00E92B4B">
        <w:rPr>
          <w:sz w:val="28"/>
          <w:szCs w:val="28"/>
        </w:rPr>
        <w:t>біль</w:t>
      </w:r>
      <w:r w:rsidR="000B2F97" w:rsidRPr="00BD7984">
        <w:rPr>
          <w:sz w:val="28"/>
          <w:szCs w:val="28"/>
        </w:rPr>
        <w:t>шення</w:t>
      </w:r>
      <w:r w:rsidRPr="00BD7984">
        <w:rPr>
          <w:sz w:val="28"/>
          <w:szCs w:val="28"/>
        </w:rPr>
        <w:t xml:space="preserve"> </w:t>
      </w:r>
      <w:r w:rsidR="00665B77" w:rsidRPr="00BD7984">
        <w:rPr>
          <w:sz w:val="28"/>
          <w:szCs w:val="28"/>
        </w:rPr>
        <w:t>обсягів використання вугілля</w:t>
      </w:r>
      <w:r w:rsidR="000B2F97" w:rsidRPr="00BD7984">
        <w:rPr>
          <w:sz w:val="28"/>
          <w:szCs w:val="28"/>
        </w:rPr>
        <w:t xml:space="preserve"> в цілому по Україні за рахунок підприємств та організацій </w:t>
      </w:r>
      <w:r w:rsidR="00E92B4B">
        <w:rPr>
          <w:sz w:val="28"/>
          <w:szCs w:val="28"/>
        </w:rPr>
        <w:t>14</w:t>
      </w:r>
      <w:r w:rsidR="000B2F97" w:rsidRPr="00BD7984">
        <w:rPr>
          <w:sz w:val="28"/>
          <w:szCs w:val="28"/>
        </w:rPr>
        <w:t xml:space="preserve"> регіонів, серед </w:t>
      </w:r>
      <w:r w:rsidR="000B2F97" w:rsidRPr="00873100">
        <w:rPr>
          <w:sz w:val="28"/>
          <w:szCs w:val="28"/>
        </w:rPr>
        <w:t>яких</w:t>
      </w:r>
      <w:r w:rsidR="00665B77" w:rsidRPr="00873100">
        <w:rPr>
          <w:sz w:val="28"/>
          <w:szCs w:val="28"/>
        </w:rPr>
        <w:t xml:space="preserve"> </w:t>
      </w:r>
      <w:r w:rsidR="00F917B0" w:rsidRPr="00873100">
        <w:rPr>
          <w:sz w:val="28"/>
          <w:szCs w:val="28"/>
        </w:rPr>
        <w:t>найбільше</w:t>
      </w:r>
      <w:r w:rsidRPr="00BD7984">
        <w:rPr>
          <w:sz w:val="28"/>
          <w:szCs w:val="28"/>
        </w:rPr>
        <w:t xml:space="preserve">, </w:t>
      </w:r>
      <w:r w:rsidR="00E43A6E">
        <w:rPr>
          <w:sz w:val="28"/>
          <w:szCs w:val="28"/>
        </w:rPr>
        <w:t xml:space="preserve">Харківської </w:t>
      </w:r>
      <w:r w:rsidR="00E43A6E" w:rsidRPr="00BD7984">
        <w:rPr>
          <w:sz w:val="28"/>
          <w:szCs w:val="28"/>
        </w:rPr>
        <w:t xml:space="preserve">(на </w:t>
      </w:r>
      <w:r w:rsidR="00E92B4B">
        <w:rPr>
          <w:sz w:val="28"/>
          <w:szCs w:val="28"/>
        </w:rPr>
        <w:t>81</w:t>
      </w:r>
      <w:r w:rsidR="00E43A6E" w:rsidRPr="00BD7984">
        <w:rPr>
          <w:sz w:val="28"/>
          <w:szCs w:val="28"/>
        </w:rPr>
        <w:t>%)</w:t>
      </w:r>
      <w:r w:rsidR="00F676A5" w:rsidRPr="00BD7984">
        <w:rPr>
          <w:sz w:val="28"/>
          <w:szCs w:val="28"/>
        </w:rPr>
        <w:t xml:space="preserve">, </w:t>
      </w:r>
      <w:r w:rsidR="00E92B4B">
        <w:rPr>
          <w:sz w:val="28"/>
          <w:szCs w:val="28"/>
        </w:rPr>
        <w:t>Миколаїв</w:t>
      </w:r>
      <w:r w:rsidR="00935350" w:rsidRPr="00BD7984">
        <w:rPr>
          <w:sz w:val="28"/>
          <w:szCs w:val="28"/>
        </w:rPr>
        <w:t xml:space="preserve">ської (на </w:t>
      </w:r>
      <w:r w:rsidR="00E92B4B">
        <w:rPr>
          <w:sz w:val="28"/>
          <w:szCs w:val="28"/>
        </w:rPr>
        <w:t>37</w:t>
      </w:r>
      <w:r w:rsidR="00935350" w:rsidRPr="00BD7984">
        <w:rPr>
          <w:sz w:val="28"/>
          <w:szCs w:val="28"/>
        </w:rPr>
        <w:t>%),</w:t>
      </w:r>
      <w:r w:rsidR="00935350" w:rsidRPr="00935350">
        <w:rPr>
          <w:sz w:val="28"/>
          <w:szCs w:val="28"/>
        </w:rPr>
        <w:t xml:space="preserve"> </w:t>
      </w:r>
      <w:r w:rsidR="00E92B4B">
        <w:rPr>
          <w:sz w:val="28"/>
          <w:szCs w:val="28"/>
        </w:rPr>
        <w:t>Сумської</w:t>
      </w:r>
      <w:r w:rsidR="00E92B4B" w:rsidRPr="00BD7984">
        <w:rPr>
          <w:sz w:val="28"/>
          <w:szCs w:val="28"/>
        </w:rPr>
        <w:t xml:space="preserve"> </w:t>
      </w:r>
      <w:r w:rsidR="00E92B4B">
        <w:rPr>
          <w:sz w:val="28"/>
          <w:szCs w:val="28"/>
        </w:rPr>
        <w:t>та Хмельниц</w:t>
      </w:r>
      <w:r w:rsidR="00935350" w:rsidRPr="00BD7984">
        <w:rPr>
          <w:sz w:val="28"/>
          <w:szCs w:val="28"/>
        </w:rPr>
        <w:t xml:space="preserve">ької (на </w:t>
      </w:r>
      <w:r w:rsidR="00935350">
        <w:rPr>
          <w:sz w:val="28"/>
          <w:szCs w:val="28"/>
        </w:rPr>
        <w:t>2</w:t>
      </w:r>
      <w:r w:rsidR="00E92B4B">
        <w:rPr>
          <w:sz w:val="28"/>
          <w:szCs w:val="28"/>
        </w:rPr>
        <w:t>9</w:t>
      </w:r>
      <w:r w:rsidR="00935350" w:rsidRPr="00BD7984">
        <w:rPr>
          <w:sz w:val="28"/>
          <w:szCs w:val="28"/>
        </w:rPr>
        <w:t>%),</w:t>
      </w:r>
      <w:r w:rsidR="00935350">
        <w:rPr>
          <w:sz w:val="28"/>
          <w:szCs w:val="28"/>
        </w:rPr>
        <w:t xml:space="preserve"> </w:t>
      </w:r>
      <w:r w:rsidR="00281E17" w:rsidRPr="00BD7984">
        <w:rPr>
          <w:sz w:val="28"/>
          <w:szCs w:val="28"/>
        </w:rPr>
        <w:t>областей</w:t>
      </w:r>
      <w:r w:rsidR="00E92B4B">
        <w:rPr>
          <w:sz w:val="28"/>
          <w:szCs w:val="28"/>
        </w:rPr>
        <w:t xml:space="preserve"> та </w:t>
      </w:r>
      <w:proofErr w:type="spellStart"/>
      <w:r w:rsidR="00E92B4B">
        <w:rPr>
          <w:sz w:val="28"/>
          <w:szCs w:val="28"/>
        </w:rPr>
        <w:t>м.Києва</w:t>
      </w:r>
      <w:proofErr w:type="spellEnd"/>
      <w:r w:rsidR="00E92B4B">
        <w:rPr>
          <w:sz w:val="28"/>
          <w:szCs w:val="28"/>
        </w:rPr>
        <w:t xml:space="preserve"> </w:t>
      </w:r>
      <w:r w:rsidR="00E92B4B" w:rsidRPr="00BD7984">
        <w:rPr>
          <w:sz w:val="28"/>
          <w:szCs w:val="28"/>
        </w:rPr>
        <w:t xml:space="preserve">(на </w:t>
      </w:r>
      <w:r w:rsidR="00E92B4B">
        <w:rPr>
          <w:sz w:val="28"/>
          <w:szCs w:val="28"/>
        </w:rPr>
        <w:t>25</w:t>
      </w:r>
      <w:r w:rsidR="00E92B4B" w:rsidRPr="00BD7984">
        <w:rPr>
          <w:sz w:val="28"/>
          <w:szCs w:val="28"/>
        </w:rPr>
        <w:t>%)</w:t>
      </w:r>
      <w:r w:rsidR="00665B77" w:rsidRPr="00BD7984">
        <w:rPr>
          <w:sz w:val="28"/>
          <w:szCs w:val="28"/>
        </w:rPr>
        <w:t>.</w:t>
      </w:r>
      <w:r w:rsidR="000B2F97" w:rsidRPr="00BD7984">
        <w:rPr>
          <w:sz w:val="28"/>
          <w:szCs w:val="28"/>
        </w:rPr>
        <w:t xml:space="preserve"> </w:t>
      </w:r>
      <w:r w:rsidR="00281E17" w:rsidRPr="00BD7984">
        <w:rPr>
          <w:sz w:val="28"/>
          <w:szCs w:val="28"/>
        </w:rPr>
        <w:t>Разом</w:t>
      </w:r>
      <w:r w:rsidR="000B2F97" w:rsidRPr="00BD7984">
        <w:rPr>
          <w:sz w:val="28"/>
          <w:szCs w:val="28"/>
        </w:rPr>
        <w:t xml:space="preserve"> з </w:t>
      </w:r>
      <w:r w:rsidR="00281E17" w:rsidRPr="00BD7984">
        <w:rPr>
          <w:sz w:val="28"/>
          <w:szCs w:val="28"/>
        </w:rPr>
        <w:t>т</w:t>
      </w:r>
      <w:r w:rsidR="000B2F97" w:rsidRPr="00BD7984">
        <w:rPr>
          <w:sz w:val="28"/>
          <w:szCs w:val="28"/>
        </w:rPr>
        <w:t xml:space="preserve">им </w:t>
      </w:r>
      <w:proofErr w:type="spellStart"/>
      <w:r w:rsidR="00E2349E" w:rsidRPr="00BD7984">
        <w:rPr>
          <w:sz w:val="28"/>
          <w:szCs w:val="28"/>
        </w:rPr>
        <w:t>з</w:t>
      </w:r>
      <w:r w:rsidR="00E92B4B">
        <w:rPr>
          <w:sz w:val="28"/>
          <w:szCs w:val="28"/>
        </w:rPr>
        <w:t>мен</w:t>
      </w:r>
      <w:r w:rsidR="000B2F97" w:rsidRPr="00BD7984">
        <w:rPr>
          <w:sz w:val="28"/>
          <w:szCs w:val="28"/>
        </w:rPr>
        <w:t>шен</w:t>
      </w:r>
      <w:proofErr w:type="spellEnd"/>
      <w:r w:rsidR="001607D2">
        <w:rPr>
          <w:sz w:val="28"/>
          <w:szCs w:val="28"/>
        </w:rPr>
        <w:t>-</w:t>
      </w:r>
      <w:r w:rsidR="000B2F97" w:rsidRPr="00BD7984">
        <w:rPr>
          <w:sz w:val="28"/>
          <w:szCs w:val="28"/>
        </w:rPr>
        <w:t>ня обсягів використання вугілля</w:t>
      </w:r>
      <w:r w:rsidR="00E43A6E">
        <w:rPr>
          <w:sz w:val="28"/>
          <w:szCs w:val="28"/>
        </w:rPr>
        <w:t xml:space="preserve"> спостерігалося в </w:t>
      </w:r>
      <w:r w:rsidR="00E92B4B">
        <w:rPr>
          <w:sz w:val="28"/>
          <w:szCs w:val="28"/>
        </w:rPr>
        <w:t>11</w:t>
      </w:r>
      <w:r w:rsidR="00E43A6E">
        <w:rPr>
          <w:sz w:val="28"/>
          <w:szCs w:val="28"/>
        </w:rPr>
        <w:t xml:space="preserve"> регіонах</w:t>
      </w:r>
      <w:r w:rsidR="00E92B4B">
        <w:rPr>
          <w:sz w:val="28"/>
          <w:szCs w:val="28"/>
        </w:rPr>
        <w:t>, серед яких</w:t>
      </w:r>
      <w:r w:rsidR="00140777">
        <w:rPr>
          <w:sz w:val="28"/>
          <w:szCs w:val="28"/>
        </w:rPr>
        <w:t xml:space="preserve"> у</w:t>
      </w:r>
      <w:r w:rsidR="00E43A6E">
        <w:rPr>
          <w:sz w:val="28"/>
          <w:szCs w:val="28"/>
        </w:rPr>
        <w:t xml:space="preserve"> </w:t>
      </w:r>
      <w:r w:rsidR="00E92B4B">
        <w:rPr>
          <w:sz w:val="28"/>
          <w:szCs w:val="28"/>
        </w:rPr>
        <w:t>Вінницьк</w:t>
      </w:r>
      <w:r w:rsidR="00140777">
        <w:rPr>
          <w:sz w:val="28"/>
          <w:szCs w:val="28"/>
        </w:rPr>
        <w:t>ій</w:t>
      </w:r>
      <w:r w:rsidR="00E2349E" w:rsidRPr="00BD7984">
        <w:rPr>
          <w:sz w:val="28"/>
          <w:szCs w:val="28"/>
        </w:rPr>
        <w:t xml:space="preserve"> </w:t>
      </w:r>
      <w:r w:rsidR="001607D2" w:rsidRPr="005A4B66">
        <w:rPr>
          <w:color w:val="000000"/>
          <w:sz w:val="28"/>
        </w:rPr>
        <w:t>–</w:t>
      </w:r>
      <w:r w:rsidR="001607D2" w:rsidRPr="00BD7984">
        <w:rPr>
          <w:sz w:val="28"/>
          <w:szCs w:val="28"/>
        </w:rPr>
        <w:t xml:space="preserve"> </w:t>
      </w:r>
      <w:r w:rsidR="00E2349E" w:rsidRPr="00BD7984">
        <w:rPr>
          <w:sz w:val="28"/>
          <w:szCs w:val="28"/>
        </w:rPr>
        <w:t xml:space="preserve">на </w:t>
      </w:r>
      <w:r w:rsidR="00E92B4B">
        <w:rPr>
          <w:sz w:val="28"/>
          <w:szCs w:val="28"/>
        </w:rPr>
        <w:t>25</w:t>
      </w:r>
      <w:r w:rsidR="00E43A6E">
        <w:rPr>
          <w:sz w:val="28"/>
          <w:szCs w:val="28"/>
        </w:rPr>
        <w:t>%</w:t>
      </w:r>
      <w:r w:rsidR="00E7678D">
        <w:rPr>
          <w:sz w:val="28"/>
          <w:szCs w:val="28"/>
        </w:rPr>
        <w:t xml:space="preserve">, </w:t>
      </w:r>
      <w:r w:rsidR="00E92B4B">
        <w:rPr>
          <w:sz w:val="28"/>
          <w:szCs w:val="28"/>
        </w:rPr>
        <w:t>Тернопільськ</w:t>
      </w:r>
      <w:r w:rsidR="00140777">
        <w:rPr>
          <w:sz w:val="28"/>
          <w:szCs w:val="28"/>
        </w:rPr>
        <w:t>ій</w:t>
      </w:r>
      <w:r w:rsidR="00E7678D">
        <w:rPr>
          <w:sz w:val="28"/>
          <w:szCs w:val="28"/>
        </w:rPr>
        <w:t xml:space="preserve"> </w:t>
      </w:r>
      <w:r w:rsidR="001607D2" w:rsidRPr="005A4B66">
        <w:rPr>
          <w:color w:val="000000"/>
          <w:sz w:val="28"/>
        </w:rPr>
        <w:t>–</w:t>
      </w:r>
      <w:r w:rsidR="001607D2" w:rsidRPr="00BD7984">
        <w:rPr>
          <w:sz w:val="28"/>
          <w:szCs w:val="28"/>
        </w:rPr>
        <w:t xml:space="preserve"> </w:t>
      </w:r>
      <w:r w:rsidR="00E7678D" w:rsidRPr="00BD7984">
        <w:rPr>
          <w:sz w:val="28"/>
          <w:szCs w:val="28"/>
        </w:rPr>
        <w:t xml:space="preserve">на </w:t>
      </w:r>
      <w:r w:rsidR="00E92B4B">
        <w:rPr>
          <w:sz w:val="28"/>
          <w:szCs w:val="28"/>
        </w:rPr>
        <w:t>22</w:t>
      </w:r>
      <w:r w:rsidR="00E7678D">
        <w:rPr>
          <w:sz w:val="28"/>
          <w:szCs w:val="28"/>
        </w:rPr>
        <w:t xml:space="preserve">% та </w:t>
      </w:r>
      <w:r w:rsidR="00E92B4B">
        <w:rPr>
          <w:sz w:val="28"/>
          <w:szCs w:val="28"/>
        </w:rPr>
        <w:t>Рівненськ</w:t>
      </w:r>
      <w:r w:rsidR="00140777">
        <w:rPr>
          <w:sz w:val="28"/>
          <w:szCs w:val="28"/>
        </w:rPr>
        <w:t>ій</w:t>
      </w:r>
      <w:r w:rsidR="001607D2">
        <w:rPr>
          <w:sz w:val="28"/>
          <w:szCs w:val="28"/>
        </w:rPr>
        <w:t xml:space="preserve"> </w:t>
      </w:r>
      <w:r w:rsidR="001607D2">
        <w:rPr>
          <w:sz w:val="28"/>
          <w:szCs w:val="28"/>
        </w:rPr>
        <w:t>областях</w:t>
      </w:r>
      <w:r w:rsidR="001607D2" w:rsidRPr="005A4B66">
        <w:rPr>
          <w:color w:val="000000"/>
          <w:sz w:val="28"/>
        </w:rPr>
        <w:t xml:space="preserve"> </w:t>
      </w:r>
      <w:r w:rsidR="001607D2" w:rsidRPr="005A4B66">
        <w:rPr>
          <w:color w:val="000000"/>
          <w:sz w:val="28"/>
        </w:rPr>
        <w:t>–</w:t>
      </w:r>
      <w:r w:rsidR="00E7678D">
        <w:rPr>
          <w:sz w:val="28"/>
          <w:szCs w:val="28"/>
        </w:rPr>
        <w:t xml:space="preserve"> </w:t>
      </w:r>
      <w:r w:rsidR="00E7678D" w:rsidRPr="00BD7984">
        <w:rPr>
          <w:sz w:val="28"/>
          <w:szCs w:val="28"/>
        </w:rPr>
        <w:t xml:space="preserve">(на </w:t>
      </w:r>
      <w:r w:rsidR="00935350">
        <w:rPr>
          <w:sz w:val="28"/>
          <w:szCs w:val="28"/>
        </w:rPr>
        <w:t>1</w:t>
      </w:r>
      <w:r w:rsidR="00E92B4B">
        <w:rPr>
          <w:sz w:val="28"/>
          <w:szCs w:val="28"/>
        </w:rPr>
        <w:t>0</w:t>
      </w:r>
      <w:r w:rsidR="00E7678D">
        <w:rPr>
          <w:sz w:val="28"/>
          <w:szCs w:val="28"/>
        </w:rPr>
        <w:t>%)</w:t>
      </w:r>
      <w:r w:rsidR="000B2F97" w:rsidRPr="00BD7984">
        <w:rPr>
          <w:sz w:val="28"/>
          <w:szCs w:val="28"/>
        </w:rPr>
        <w:t>.</w:t>
      </w:r>
    </w:p>
    <w:p w:rsidR="00C64C09" w:rsidRDefault="002A5D68" w:rsidP="0074634C">
      <w:pPr>
        <w:tabs>
          <w:tab w:val="left" w:pos="709"/>
        </w:tabs>
        <w:spacing w:line="360" w:lineRule="exact"/>
        <w:ind w:firstLine="709"/>
        <w:jc w:val="both"/>
        <w:rPr>
          <w:sz w:val="28"/>
          <w:szCs w:val="28"/>
        </w:rPr>
      </w:pPr>
      <w:r w:rsidRPr="00A77335">
        <w:rPr>
          <w:sz w:val="28"/>
          <w:szCs w:val="28"/>
          <w:shd w:val="clear" w:color="auto" w:fill="FFFFFF"/>
        </w:rPr>
        <w:t>У розподілі</w:t>
      </w:r>
      <w:r w:rsidRPr="00BD7984">
        <w:rPr>
          <w:sz w:val="28"/>
          <w:szCs w:val="28"/>
          <w:shd w:val="clear" w:color="auto" w:fill="FFFFFF"/>
        </w:rPr>
        <w:t xml:space="preserve"> використання палива за видами економічної діяльності </w:t>
      </w:r>
      <w:r w:rsidR="00281E17" w:rsidRPr="00BD7984">
        <w:rPr>
          <w:sz w:val="28"/>
          <w:szCs w:val="28"/>
          <w:shd w:val="clear" w:color="auto" w:fill="FFFFFF"/>
        </w:rPr>
        <w:t>з</w:t>
      </w:r>
      <w:proofErr w:type="spellStart"/>
      <w:r w:rsidR="000E16DC">
        <w:rPr>
          <w:sz w:val="28"/>
          <w:szCs w:val="28"/>
          <w:shd w:val="clear" w:color="auto" w:fill="FFFFFF"/>
          <w:lang w:val="ru-RU"/>
        </w:rPr>
        <w:t>біль</w:t>
      </w:r>
      <w:r w:rsidR="00281E17" w:rsidRPr="00BD7984">
        <w:rPr>
          <w:sz w:val="28"/>
          <w:szCs w:val="28"/>
          <w:shd w:val="clear" w:color="auto" w:fill="FFFFFF"/>
        </w:rPr>
        <w:t>шилися</w:t>
      </w:r>
      <w:proofErr w:type="spellEnd"/>
      <w:r w:rsidR="00E2349E" w:rsidRPr="00BD7984">
        <w:rPr>
          <w:sz w:val="28"/>
          <w:szCs w:val="28"/>
          <w:shd w:val="clear" w:color="auto" w:fill="FFFFFF"/>
        </w:rPr>
        <w:t xml:space="preserve"> </w:t>
      </w:r>
      <w:r w:rsidRPr="00BD7984">
        <w:rPr>
          <w:sz w:val="28"/>
          <w:szCs w:val="28"/>
          <w:shd w:val="clear" w:color="auto" w:fill="FFFFFF"/>
        </w:rPr>
        <w:t xml:space="preserve">обсяги </w:t>
      </w:r>
      <w:r w:rsidR="00486183" w:rsidRPr="00BD7984">
        <w:rPr>
          <w:sz w:val="28"/>
          <w:szCs w:val="28"/>
          <w:shd w:val="clear" w:color="auto" w:fill="FFFFFF"/>
        </w:rPr>
        <w:t>його споживання</w:t>
      </w:r>
      <w:r w:rsidR="00281E17" w:rsidRPr="00BD7984">
        <w:t xml:space="preserve"> </w:t>
      </w:r>
      <w:r w:rsidR="00281E17" w:rsidRPr="00BD7984">
        <w:rPr>
          <w:sz w:val="28"/>
          <w:szCs w:val="28"/>
          <w:shd w:val="clear" w:color="auto" w:fill="FFFFFF"/>
        </w:rPr>
        <w:t>проти 201</w:t>
      </w:r>
      <w:r w:rsidR="000E16DC">
        <w:rPr>
          <w:sz w:val="28"/>
          <w:szCs w:val="28"/>
          <w:shd w:val="clear" w:color="auto" w:fill="FFFFFF"/>
        </w:rPr>
        <w:t>5</w:t>
      </w:r>
      <w:r w:rsidR="00281E17" w:rsidRPr="00BD7984">
        <w:rPr>
          <w:sz w:val="28"/>
          <w:szCs w:val="28"/>
          <w:shd w:val="clear" w:color="auto" w:fill="FFFFFF"/>
        </w:rPr>
        <w:t xml:space="preserve">р. </w:t>
      </w:r>
      <w:r w:rsidR="00FE0CEB" w:rsidRPr="00BD7984">
        <w:rPr>
          <w:sz w:val="28"/>
          <w:szCs w:val="28"/>
          <w:shd w:val="clear" w:color="auto" w:fill="FFFFFF"/>
        </w:rPr>
        <w:t xml:space="preserve">підприємствами й </w:t>
      </w:r>
      <w:r w:rsidR="00FE0CEB" w:rsidRPr="00BD7984">
        <w:rPr>
          <w:sz w:val="28"/>
          <w:szCs w:val="28"/>
        </w:rPr>
        <w:t>організаціями</w:t>
      </w:r>
      <w:r w:rsidR="00C64C09">
        <w:rPr>
          <w:sz w:val="28"/>
          <w:szCs w:val="28"/>
        </w:rPr>
        <w:t>:</w:t>
      </w:r>
    </w:p>
    <w:p w:rsidR="00C64C09" w:rsidRDefault="00093D95" w:rsidP="004913FD">
      <w:pPr>
        <w:numPr>
          <w:ilvl w:val="0"/>
          <w:numId w:val="2"/>
        </w:numPr>
        <w:tabs>
          <w:tab w:val="left" w:pos="426"/>
        </w:tabs>
        <w:spacing w:line="360" w:lineRule="exact"/>
        <w:ind w:left="426" w:hanging="284"/>
        <w:jc w:val="both"/>
        <w:rPr>
          <w:sz w:val="28"/>
          <w:szCs w:val="28"/>
        </w:rPr>
      </w:pPr>
      <w:r w:rsidRPr="00C64C09">
        <w:rPr>
          <w:sz w:val="28"/>
          <w:szCs w:val="28"/>
        </w:rPr>
        <w:t xml:space="preserve">транспорту та зв’язку – на </w:t>
      </w:r>
      <w:r w:rsidR="00A469E3">
        <w:rPr>
          <w:sz w:val="28"/>
          <w:szCs w:val="28"/>
          <w:lang w:val="ru-RU"/>
        </w:rPr>
        <w:t>91</w:t>
      </w:r>
      <w:r w:rsidRPr="00C64C09">
        <w:rPr>
          <w:sz w:val="28"/>
          <w:szCs w:val="28"/>
        </w:rPr>
        <w:t xml:space="preserve">%, з них природного газу – </w:t>
      </w:r>
      <w:r w:rsidR="00A469E3">
        <w:rPr>
          <w:sz w:val="28"/>
          <w:szCs w:val="28"/>
        </w:rPr>
        <w:t xml:space="preserve">в 1,8 </w:t>
      </w:r>
      <w:proofErr w:type="spellStart"/>
      <w:r w:rsidR="00A469E3" w:rsidRPr="00140777">
        <w:rPr>
          <w:sz w:val="28"/>
          <w:szCs w:val="28"/>
        </w:rPr>
        <w:t>раза</w:t>
      </w:r>
      <w:proofErr w:type="spellEnd"/>
      <w:r w:rsidR="00A469E3" w:rsidRPr="00140777">
        <w:rPr>
          <w:sz w:val="28"/>
          <w:szCs w:val="28"/>
        </w:rPr>
        <w:t xml:space="preserve"> </w:t>
      </w:r>
      <w:r w:rsidR="00140777" w:rsidRPr="00140777">
        <w:rPr>
          <w:sz w:val="28"/>
          <w:szCs w:val="28"/>
        </w:rPr>
        <w:t>(</w:t>
      </w:r>
      <w:r w:rsidR="00A469E3" w:rsidRPr="00140777">
        <w:rPr>
          <w:sz w:val="28"/>
          <w:szCs w:val="28"/>
        </w:rPr>
        <w:t>за рахунок трубопровідного</w:t>
      </w:r>
      <w:r w:rsidR="00A469E3">
        <w:rPr>
          <w:sz w:val="28"/>
          <w:szCs w:val="28"/>
          <w:lang w:val="ru-RU"/>
        </w:rPr>
        <w:t xml:space="preserve"> транс</w:t>
      </w:r>
      <w:r w:rsidR="00A77335">
        <w:rPr>
          <w:sz w:val="28"/>
          <w:szCs w:val="28"/>
          <w:lang w:val="ru-RU"/>
        </w:rPr>
        <w:t>-</w:t>
      </w:r>
      <w:r w:rsidR="00A469E3">
        <w:rPr>
          <w:sz w:val="28"/>
          <w:szCs w:val="28"/>
          <w:lang w:val="ru-RU"/>
        </w:rPr>
        <w:t>порту</w:t>
      </w:r>
      <w:r w:rsidR="00140777">
        <w:rPr>
          <w:sz w:val="28"/>
          <w:szCs w:val="28"/>
          <w:lang w:val="ru-RU"/>
        </w:rPr>
        <w:t>)</w:t>
      </w:r>
      <w:r w:rsidRPr="00C64C09">
        <w:rPr>
          <w:sz w:val="28"/>
          <w:szCs w:val="28"/>
        </w:rPr>
        <w:t>,</w:t>
      </w:r>
      <w:r w:rsidR="00CF4C42" w:rsidRPr="00CF4C42">
        <w:rPr>
          <w:sz w:val="28"/>
          <w:szCs w:val="28"/>
        </w:rPr>
        <w:t xml:space="preserve"> </w:t>
      </w:r>
      <w:r w:rsidR="00A469E3" w:rsidRPr="007A0B4E">
        <w:rPr>
          <w:sz w:val="28"/>
          <w:szCs w:val="28"/>
        </w:rPr>
        <w:t>мазутів паливних важких</w:t>
      </w:r>
      <w:r w:rsidR="00CF4C42" w:rsidRPr="00C64C09">
        <w:rPr>
          <w:sz w:val="28"/>
          <w:szCs w:val="28"/>
        </w:rPr>
        <w:t xml:space="preserve"> – на </w:t>
      </w:r>
      <w:r w:rsidR="00A469E3">
        <w:rPr>
          <w:sz w:val="28"/>
          <w:szCs w:val="28"/>
          <w:lang w:val="ru-RU"/>
        </w:rPr>
        <w:t>19</w:t>
      </w:r>
      <w:r w:rsidR="00CF4C42" w:rsidRPr="00C64C09">
        <w:rPr>
          <w:sz w:val="28"/>
          <w:szCs w:val="28"/>
        </w:rPr>
        <w:t xml:space="preserve">%, </w:t>
      </w:r>
      <w:proofErr w:type="spellStart"/>
      <w:r w:rsidR="00A469E3">
        <w:rPr>
          <w:sz w:val="28"/>
          <w:szCs w:val="28"/>
        </w:rPr>
        <w:t>газойлів</w:t>
      </w:r>
      <w:proofErr w:type="spellEnd"/>
      <w:r w:rsidR="00A469E3" w:rsidRPr="00C64C09">
        <w:rPr>
          <w:sz w:val="28"/>
          <w:szCs w:val="28"/>
        </w:rPr>
        <w:t xml:space="preserve"> </w:t>
      </w:r>
      <w:r w:rsidR="00CF4C42" w:rsidRPr="00C64C09">
        <w:rPr>
          <w:sz w:val="28"/>
          <w:szCs w:val="28"/>
        </w:rPr>
        <w:t xml:space="preserve">– на </w:t>
      </w:r>
      <w:r w:rsidR="00CF4C42" w:rsidRPr="00CF4C42">
        <w:rPr>
          <w:sz w:val="28"/>
          <w:szCs w:val="28"/>
          <w:lang w:val="ru-RU"/>
        </w:rPr>
        <w:t>1</w:t>
      </w:r>
      <w:r w:rsidR="00A469E3">
        <w:rPr>
          <w:sz w:val="28"/>
          <w:szCs w:val="28"/>
          <w:lang w:val="ru-RU"/>
        </w:rPr>
        <w:t>2</w:t>
      </w:r>
      <w:r w:rsidR="00CF4C42" w:rsidRPr="00C64C09">
        <w:rPr>
          <w:sz w:val="28"/>
          <w:szCs w:val="28"/>
        </w:rPr>
        <w:t>%</w:t>
      </w:r>
      <w:r w:rsidRPr="00C64C09">
        <w:rPr>
          <w:sz w:val="28"/>
          <w:szCs w:val="28"/>
        </w:rPr>
        <w:t>;</w:t>
      </w:r>
    </w:p>
    <w:p w:rsidR="00A77335" w:rsidRDefault="00A77335" w:rsidP="00A77335">
      <w:pPr>
        <w:numPr>
          <w:ilvl w:val="0"/>
          <w:numId w:val="2"/>
        </w:numPr>
        <w:tabs>
          <w:tab w:val="left" w:pos="0"/>
        </w:tabs>
        <w:spacing w:line="360" w:lineRule="exact"/>
        <w:ind w:left="426" w:hanging="284"/>
        <w:jc w:val="both"/>
        <w:rPr>
          <w:sz w:val="28"/>
          <w:szCs w:val="28"/>
        </w:rPr>
      </w:pPr>
      <w:r w:rsidRPr="00DD72E6">
        <w:rPr>
          <w:sz w:val="28"/>
          <w:szCs w:val="28"/>
        </w:rPr>
        <w:t>будівництва</w:t>
      </w:r>
      <w:r w:rsidRPr="00DF2E12">
        <w:rPr>
          <w:sz w:val="28"/>
          <w:szCs w:val="28"/>
        </w:rPr>
        <w:t xml:space="preserve"> </w:t>
      </w:r>
      <w:r w:rsidR="001607D2" w:rsidRPr="005A4B66">
        <w:rPr>
          <w:color w:val="000000"/>
          <w:sz w:val="28"/>
        </w:rPr>
        <w:t>–</w:t>
      </w:r>
      <w:r w:rsidR="00140777" w:rsidRPr="00C64C09">
        <w:rPr>
          <w:sz w:val="28"/>
          <w:szCs w:val="28"/>
        </w:rPr>
        <w:t xml:space="preserve"> </w:t>
      </w:r>
      <w:r w:rsidRPr="00DF2E12">
        <w:rPr>
          <w:sz w:val="28"/>
          <w:szCs w:val="28"/>
        </w:rPr>
        <w:t xml:space="preserve">на </w:t>
      </w:r>
      <w:r w:rsidR="00741FEC">
        <w:rPr>
          <w:sz w:val="28"/>
          <w:szCs w:val="28"/>
        </w:rPr>
        <w:t>15</w:t>
      </w:r>
      <w:r w:rsidRPr="00DF2E12">
        <w:rPr>
          <w:sz w:val="28"/>
          <w:szCs w:val="28"/>
        </w:rPr>
        <w:t>%, з них</w:t>
      </w:r>
      <w:r w:rsidR="00353A6A" w:rsidRPr="00353A6A">
        <w:rPr>
          <w:sz w:val="28"/>
          <w:szCs w:val="28"/>
        </w:rPr>
        <w:t xml:space="preserve"> </w:t>
      </w:r>
      <w:r w:rsidR="00353A6A" w:rsidRPr="007A0B4E">
        <w:rPr>
          <w:sz w:val="28"/>
          <w:szCs w:val="28"/>
        </w:rPr>
        <w:t xml:space="preserve">бутану і пропану скраплених – на </w:t>
      </w:r>
      <w:r w:rsidR="00353A6A">
        <w:rPr>
          <w:sz w:val="28"/>
          <w:szCs w:val="28"/>
        </w:rPr>
        <w:t>60</w:t>
      </w:r>
      <w:r w:rsidR="00353A6A" w:rsidRPr="007A0B4E">
        <w:rPr>
          <w:sz w:val="28"/>
          <w:szCs w:val="28"/>
        </w:rPr>
        <w:t>%</w:t>
      </w:r>
      <w:r w:rsidR="00353A6A">
        <w:rPr>
          <w:sz w:val="28"/>
          <w:szCs w:val="28"/>
        </w:rPr>
        <w:t>,</w:t>
      </w:r>
      <w:r w:rsidR="00353A6A" w:rsidRPr="00353A6A">
        <w:rPr>
          <w:sz w:val="28"/>
          <w:szCs w:val="28"/>
        </w:rPr>
        <w:t xml:space="preserve"> </w:t>
      </w:r>
      <w:r w:rsidR="00353A6A" w:rsidRPr="00DF2E12">
        <w:rPr>
          <w:sz w:val="28"/>
          <w:szCs w:val="28"/>
        </w:rPr>
        <w:t>олив та мастил нафтових</w:t>
      </w:r>
      <w:r w:rsidR="00A13614">
        <w:rPr>
          <w:sz w:val="28"/>
          <w:szCs w:val="28"/>
        </w:rPr>
        <w:t xml:space="preserve"> </w:t>
      </w:r>
      <w:bookmarkStart w:id="1" w:name="_GoBack"/>
      <w:bookmarkEnd w:id="1"/>
      <w:r w:rsidR="00A13614" w:rsidRPr="005A4B66">
        <w:rPr>
          <w:color w:val="000000"/>
          <w:sz w:val="28"/>
        </w:rPr>
        <w:t>–</w:t>
      </w:r>
      <w:r w:rsidR="00353A6A" w:rsidRPr="007A0B4E">
        <w:rPr>
          <w:sz w:val="28"/>
          <w:szCs w:val="28"/>
        </w:rPr>
        <w:t xml:space="preserve"> </w:t>
      </w:r>
      <w:r w:rsidR="00353A6A">
        <w:rPr>
          <w:sz w:val="28"/>
          <w:szCs w:val="28"/>
        </w:rPr>
        <w:t>на 57%,</w:t>
      </w:r>
      <w:r w:rsidRPr="00A512D7">
        <w:rPr>
          <w:sz w:val="28"/>
          <w:szCs w:val="28"/>
        </w:rPr>
        <w:t xml:space="preserve"> </w:t>
      </w:r>
      <w:r w:rsidRPr="00DF2E12">
        <w:rPr>
          <w:sz w:val="28"/>
          <w:szCs w:val="28"/>
        </w:rPr>
        <w:t>бензину моторного</w:t>
      </w:r>
      <w:r w:rsidR="00741FEC" w:rsidRPr="007A0B4E">
        <w:rPr>
          <w:sz w:val="28"/>
          <w:szCs w:val="28"/>
        </w:rPr>
        <w:t xml:space="preserve"> </w:t>
      </w:r>
      <w:r w:rsidR="001607D2" w:rsidRPr="005A4B66">
        <w:rPr>
          <w:color w:val="000000"/>
          <w:sz w:val="28"/>
        </w:rPr>
        <w:t>–</w:t>
      </w:r>
      <w:r w:rsidR="00741FEC" w:rsidRPr="007A0B4E">
        <w:rPr>
          <w:sz w:val="28"/>
          <w:szCs w:val="28"/>
        </w:rPr>
        <w:t xml:space="preserve"> </w:t>
      </w:r>
      <w:r w:rsidR="00741FEC">
        <w:rPr>
          <w:sz w:val="28"/>
          <w:szCs w:val="28"/>
        </w:rPr>
        <w:t>на 48%</w:t>
      </w:r>
      <w:r w:rsidR="00140777">
        <w:rPr>
          <w:sz w:val="28"/>
          <w:szCs w:val="28"/>
        </w:rPr>
        <w:t>,</w:t>
      </w:r>
      <w:r w:rsidRPr="00DF2E12">
        <w:rPr>
          <w:sz w:val="28"/>
          <w:szCs w:val="28"/>
        </w:rPr>
        <w:t xml:space="preserve"> </w:t>
      </w:r>
      <w:proofErr w:type="spellStart"/>
      <w:r w:rsidRPr="00DF2E12">
        <w:rPr>
          <w:sz w:val="28"/>
          <w:szCs w:val="28"/>
        </w:rPr>
        <w:t>газойлів</w:t>
      </w:r>
      <w:proofErr w:type="spellEnd"/>
      <w:r w:rsidRPr="00DF2E12">
        <w:rPr>
          <w:sz w:val="28"/>
          <w:szCs w:val="28"/>
        </w:rPr>
        <w:t xml:space="preserve"> –</w:t>
      </w:r>
      <w:r w:rsidRPr="00BD7984">
        <w:t xml:space="preserve"> </w:t>
      </w:r>
      <w:r w:rsidR="00741FEC" w:rsidRPr="00DF2E12">
        <w:rPr>
          <w:sz w:val="28"/>
          <w:szCs w:val="28"/>
        </w:rPr>
        <w:t xml:space="preserve">на </w:t>
      </w:r>
      <w:r w:rsidR="00741FEC">
        <w:rPr>
          <w:sz w:val="28"/>
          <w:szCs w:val="28"/>
        </w:rPr>
        <w:t>16</w:t>
      </w:r>
      <w:r w:rsidR="00741FEC" w:rsidRPr="00DF2E12">
        <w:rPr>
          <w:sz w:val="28"/>
          <w:szCs w:val="28"/>
        </w:rPr>
        <w:t>%</w:t>
      </w:r>
      <w:r w:rsidRPr="00DF2E12">
        <w:rPr>
          <w:sz w:val="28"/>
          <w:szCs w:val="28"/>
        </w:rPr>
        <w:t xml:space="preserve">, </w:t>
      </w:r>
      <w:r w:rsidRPr="00C64C09">
        <w:rPr>
          <w:sz w:val="28"/>
          <w:szCs w:val="28"/>
        </w:rPr>
        <w:t xml:space="preserve">при одночасному </w:t>
      </w:r>
      <w:r w:rsidR="00741FEC">
        <w:rPr>
          <w:sz w:val="28"/>
          <w:szCs w:val="28"/>
        </w:rPr>
        <w:t>зменшен</w:t>
      </w:r>
      <w:r w:rsidR="001607D2">
        <w:rPr>
          <w:sz w:val="28"/>
          <w:szCs w:val="28"/>
        </w:rPr>
        <w:t>н</w:t>
      </w:r>
      <w:r w:rsidR="00741FEC">
        <w:rPr>
          <w:sz w:val="28"/>
          <w:szCs w:val="28"/>
        </w:rPr>
        <w:t>і</w:t>
      </w:r>
      <w:r w:rsidRPr="00C64C09">
        <w:rPr>
          <w:sz w:val="28"/>
          <w:szCs w:val="28"/>
        </w:rPr>
        <w:t xml:space="preserve"> використання </w:t>
      </w:r>
      <w:r w:rsidRPr="00DF2E12">
        <w:rPr>
          <w:sz w:val="28"/>
          <w:szCs w:val="28"/>
        </w:rPr>
        <w:t>вугілля</w:t>
      </w:r>
      <w:r w:rsidRPr="007A0B4E">
        <w:rPr>
          <w:sz w:val="28"/>
          <w:szCs w:val="28"/>
        </w:rPr>
        <w:t xml:space="preserve"> </w:t>
      </w:r>
      <w:r w:rsidR="001607D2" w:rsidRPr="005A4B66">
        <w:rPr>
          <w:color w:val="000000"/>
          <w:sz w:val="28"/>
        </w:rPr>
        <w:t>–</w:t>
      </w:r>
      <w:r w:rsidRPr="007A0B4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741FEC">
        <w:rPr>
          <w:sz w:val="28"/>
          <w:szCs w:val="28"/>
        </w:rPr>
        <w:t>50</w:t>
      </w:r>
      <w:r>
        <w:rPr>
          <w:sz w:val="28"/>
          <w:szCs w:val="28"/>
        </w:rPr>
        <w:t xml:space="preserve">%, </w:t>
      </w:r>
      <w:r w:rsidRPr="00DF2E12">
        <w:rPr>
          <w:sz w:val="28"/>
          <w:szCs w:val="28"/>
        </w:rPr>
        <w:t xml:space="preserve">природного </w:t>
      </w:r>
      <w:r w:rsidR="00140777">
        <w:rPr>
          <w:sz w:val="28"/>
          <w:szCs w:val="28"/>
        </w:rPr>
        <w:t xml:space="preserve">                 </w:t>
      </w:r>
      <w:r w:rsidRPr="00DF2E12">
        <w:rPr>
          <w:sz w:val="28"/>
          <w:szCs w:val="28"/>
        </w:rPr>
        <w:t xml:space="preserve">газу – на </w:t>
      </w:r>
      <w:r w:rsidR="00741FEC">
        <w:rPr>
          <w:sz w:val="28"/>
          <w:szCs w:val="28"/>
          <w:lang w:val="ru-RU"/>
        </w:rPr>
        <w:t>48</w:t>
      </w:r>
      <w:r w:rsidRPr="00DF2E12">
        <w:rPr>
          <w:sz w:val="28"/>
          <w:szCs w:val="28"/>
        </w:rPr>
        <w:t>%;</w:t>
      </w:r>
      <w:r w:rsidRPr="00C64C09">
        <w:rPr>
          <w:sz w:val="28"/>
          <w:szCs w:val="28"/>
        </w:rPr>
        <w:t xml:space="preserve"> </w:t>
      </w:r>
      <w:r w:rsidR="00741FEC" w:rsidRPr="00DF2E12">
        <w:rPr>
          <w:sz w:val="28"/>
          <w:szCs w:val="28"/>
        </w:rPr>
        <w:t xml:space="preserve">нафти, включаючи газовий конденсат </w:t>
      </w:r>
      <w:r w:rsidR="001607D2" w:rsidRPr="005A4B66">
        <w:rPr>
          <w:color w:val="000000"/>
          <w:sz w:val="28"/>
        </w:rPr>
        <w:t>–</w:t>
      </w:r>
      <w:r w:rsidR="00741FEC" w:rsidRPr="00DF2E12">
        <w:rPr>
          <w:sz w:val="28"/>
          <w:szCs w:val="28"/>
        </w:rPr>
        <w:t xml:space="preserve"> на </w:t>
      </w:r>
      <w:r w:rsidR="00353A6A">
        <w:rPr>
          <w:sz w:val="28"/>
          <w:szCs w:val="28"/>
        </w:rPr>
        <w:t>44</w:t>
      </w:r>
      <w:r w:rsidR="00741FEC" w:rsidRPr="00DF2E12">
        <w:rPr>
          <w:sz w:val="28"/>
          <w:szCs w:val="28"/>
        </w:rPr>
        <w:t>%</w:t>
      </w:r>
      <w:r w:rsidR="00353A6A">
        <w:rPr>
          <w:sz w:val="28"/>
          <w:szCs w:val="28"/>
        </w:rPr>
        <w:t>;</w:t>
      </w:r>
      <w:r w:rsidR="00741FEC" w:rsidRPr="00DD72E6">
        <w:rPr>
          <w:sz w:val="28"/>
          <w:szCs w:val="28"/>
        </w:rPr>
        <w:t xml:space="preserve"> </w:t>
      </w:r>
    </w:p>
    <w:p w:rsidR="00A77335" w:rsidRDefault="00A77335" w:rsidP="00A77335">
      <w:pPr>
        <w:numPr>
          <w:ilvl w:val="0"/>
          <w:numId w:val="2"/>
        </w:numPr>
        <w:tabs>
          <w:tab w:val="left" w:pos="0"/>
        </w:tabs>
        <w:spacing w:line="360" w:lineRule="exact"/>
        <w:ind w:left="426" w:hanging="284"/>
        <w:jc w:val="both"/>
        <w:rPr>
          <w:sz w:val="28"/>
          <w:szCs w:val="28"/>
        </w:rPr>
      </w:pPr>
      <w:r w:rsidRPr="007A0B4E">
        <w:rPr>
          <w:sz w:val="28"/>
          <w:szCs w:val="28"/>
        </w:rPr>
        <w:lastRenderedPageBreak/>
        <w:t xml:space="preserve">сільського господарства – на </w:t>
      </w:r>
      <w:r w:rsidR="00D80F78">
        <w:rPr>
          <w:sz w:val="28"/>
          <w:szCs w:val="28"/>
        </w:rPr>
        <w:t>11</w:t>
      </w:r>
      <w:r w:rsidRPr="007A0B4E">
        <w:rPr>
          <w:sz w:val="28"/>
          <w:szCs w:val="28"/>
        </w:rPr>
        <w:t>%</w:t>
      </w:r>
      <w:r>
        <w:rPr>
          <w:sz w:val="28"/>
          <w:szCs w:val="28"/>
        </w:rPr>
        <w:t>,</w:t>
      </w:r>
      <w:r w:rsidRPr="007A0B4E">
        <w:rPr>
          <w:sz w:val="28"/>
          <w:szCs w:val="28"/>
        </w:rPr>
        <w:t xml:space="preserve"> з н</w:t>
      </w:r>
      <w:r>
        <w:rPr>
          <w:sz w:val="28"/>
          <w:szCs w:val="28"/>
        </w:rPr>
        <w:t>их</w:t>
      </w:r>
      <w:r w:rsidRPr="007A0B4E">
        <w:rPr>
          <w:sz w:val="28"/>
          <w:szCs w:val="28"/>
        </w:rPr>
        <w:t xml:space="preserve"> мазутів паливних важких </w:t>
      </w:r>
      <w:r w:rsidR="001607D2" w:rsidRPr="005A4B66">
        <w:rPr>
          <w:color w:val="000000"/>
          <w:sz w:val="28"/>
        </w:rPr>
        <w:t>–</w:t>
      </w:r>
      <w:r w:rsidRPr="007A0B4E">
        <w:rPr>
          <w:sz w:val="28"/>
          <w:szCs w:val="28"/>
        </w:rPr>
        <w:t xml:space="preserve"> </w:t>
      </w:r>
      <w:r w:rsidR="00B96B7E">
        <w:rPr>
          <w:sz w:val="28"/>
          <w:szCs w:val="28"/>
        </w:rPr>
        <w:t>в</w:t>
      </w:r>
      <w:r w:rsidRPr="007A0B4E">
        <w:rPr>
          <w:sz w:val="28"/>
          <w:szCs w:val="28"/>
        </w:rPr>
        <w:t xml:space="preserve"> </w:t>
      </w:r>
      <w:r w:rsidR="00B96B7E">
        <w:rPr>
          <w:sz w:val="28"/>
          <w:szCs w:val="28"/>
        </w:rPr>
        <w:t xml:space="preserve">2 </w:t>
      </w:r>
      <w:r w:rsidR="00140777">
        <w:rPr>
          <w:sz w:val="28"/>
          <w:szCs w:val="28"/>
        </w:rPr>
        <w:t>рази</w:t>
      </w:r>
      <w:r>
        <w:rPr>
          <w:sz w:val="28"/>
          <w:szCs w:val="28"/>
        </w:rPr>
        <w:t xml:space="preserve">, </w:t>
      </w:r>
      <w:r w:rsidR="00B96B7E" w:rsidRPr="007A0B4E">
        <w:rPr>
          <w:sz w:val="28"/>
          <w:szCs w:val="28"/>
        </w:rPr>
        <w:t xml:space="preserve">бутану і пропану скраплених – на </w:t>
      </w:r>
      <w:r w:rsidR="00B96B7E">
        <w:rPr>
          <w:sz w:val="28"/>
          <w:szCs w:val="28"/>
        </w:rPr>
        <w:t>46</w:t>
      </w:r>
      <w:r w:rsidR="00B96B7E" w:rsidRPr="007A0B4E">
        <w:rPr>
          <w:sz w:val="28"/>
          <w:szCs w:val="28"/>
        </w:rPr>
        <w:t>%</w:t>
      </w:r>
      <w:r w:rsidR="00B96B7E">
        <w:rPr>
          <w:sz w:val="28"/>
          <w:szCs w:val="28"/>
        </w:rPr>
        <w:t xml:space="preserve">, </w:t>
      </w:r>
      <w:r w:rsidR="00B96B7E" w:rsidRPr="00DF2E12">
        <w:rPr>
          <w:sz w:val="28"/>
          <w:szCs w:val="28"/>
        </w:rPr>
        <w:t>вугілля</w:t>
      </w:r>
      <w:r w:rsidR="00B96B7E" w:rsidRPr="007A0B4E">
        <w:rPr>
          <w:sz w:val="28"/>
          <w:szCs w:val="28"/>
        </w:rPr>
        <w:t xml:space="preserve"> </w:t>
      </w:r>
      <w:r w:rsidR="001607D2" w:rsidRPr="005A4B66">
        <w:rPr>
          <w:color w:val="000000"/>
          <w:sz w:val="28"/>
        </w:rPr>
        <w:t>–</w:t>
      </w:r>
      <w:r w:rsidR="00B96B7E" w:rsidRPr="007A0B4E">
        <w:rPr>
          <w:sz w:val="28"/>
          <w:szCs w:val="28"/>
        </w:rPr>
        <w:t xml:space="preserve"> </w:t>
      </w:r>
      <w:r w:rsidR="00B96B7E">
        <w:rPr>
          <w:sz w:val="28"/>
          <w:szCs w:val="28"/>
        </w:rPr>
        <w:t xml:space="preserve">на 18%, </w:t>
      </w:r>
      <w:r w:rsidRPr="007A0B4E">
        <w:rPr>
          <w:sz w:val="28"/>
          <w:szCs w:val="28"/>
        </w:rPr>
        <w:t xml:space="preserve">природного газу – на </w:t>
      </w:r>
      <w:r>
        <w:rPr>
          <w:sz w:val="28"/>
          <w:szCs w:val="28"/>
        </w:rPr>
        <w:t>1</w:t>
      </w:r>
      <w:r w:rsidR="00B96B7E">
        <w:rPr>
          <w:sz w:val="28"/>
          <w:szCs w:val="28"/>
        </w:rPr>
        <w:t>4</w:t>
      </w:r>
      <w:r w:rsidRPr="007A0B4E">
        <w:rPr>
          <w:sz w:val="28"/>
          <w:szCs w:val="28"/>
        </w:rPr>
        <w:t xml:space="preserve">%, бутану і пропану скраплених – на </w:t>
      </w:r>
      <w:r w:rsidR="00B96B7E">
        <w:rPr>
          <w:sz w:val="28"/>
          <w:szCs w:val="28"/>
        </w:rPr>
        <w:t>4</w:t>
      </w:r>
      <w:r>
        <w:rPr>
          <w:sz w:val="28"/>
          <w:szCs w:val="28"/>
        </w:rPr>
        <w:t>6</w:t>
      </w:r>
      <w:r w:rsidRPr="007A0B4E">
        <w:rPr>
          <w:sz w:val="28"/>
          <w:szCs w:val="28"/>
        </w:rPr>
        <w:t>%</w:t>
      </w:r>
      <w:r>
        <w:rPr>
          <w:sz w:val="28"/>
          <w:szCs w:val="28"/>
        </w:rPr>
        <w:t xml:space="preserve">, </w:t>
      </w:r>
      <w:proofErr w:type="spellStart"/>
      <w:r w:rsidR="00B96B7E" w:rsidRPr="00DF2E12">
        <w:rPr>
          <w:sz w:val="28"/>
          <w:szCs w:val="28"/>
        </w:rPr>
        <w:t>газойлів</w:t>
      </w:r>
      <w:proofErr w:type="spellEnd"/>
      <w:r w:rsidR="00B96B7E" w:rsidRPr="007A0B4E">
        <w:rPr>
          <w:sz w:val="28"/>
          <w:szCs w:val="28"/>
        </w:rPr>
        <w:t xml:space="preserve"> </w:t>
      </w:r>
      <w:r w:rsidR="001607D2" w:rsidRPr="005A4B66">
        <w:rPr>
          <w:color w:val="000000"/>
          <w:sz w:val="28"/>
        </w:rPr>
        <w:t>–</w:t>
      </w:r>
      <w:r w:rsidRPr="007A0B4E">
        <w:rPr>
          <w:sz w:val="28"/>
          <w:szCs w:val="28"/>
        </w:rPr>
        <w:t xml:space="preserve"> на </w:t>
      </w:r>
      <w:r w:rsidR="00B96B7E">
        <w:rPr>
          <w:sz w:val="28"/>
          <w:szCs w:val="28"/>
        </w:rPr>
        <w:t>10</w:t>
      </w:r>
      <w:r w:rsidRPr="007A0B4E">
        <w:rPr>
          <w:sz w:val="28"/>
          <w:szCs w:val="28"/>
        </w:rPr>
        <w:t>%</w:t>
      </w:r>
      <w:r w:rsidR="00B96B7E">
        <w:rPr>
          <w:sz w:val="28"/>
          <w:szCs w:val="28"/>
        </w:rPr>
        <w:t>;</w:t>
      </w:r>
      <w:r w:rsidRPr="007A0B4E">
        <w:rPr>
          <w:sz w:val="28"/>
          <w:szCs w:val="28"/>
        </w:rPr>
        <w:t xml:space="preserve"> </w:t>
      </w:r>
    </w:p>
    <w:p w:rsidR="00C64C09" w:rsidRDefault="004913FD" w:rsidP="00CF4131">
      <w:pPr>
        <w:numPr>
          <w:ilvl w:val="0"/>
          <w:numId w:val="2"/>
        </w:numPr>
        <w:tabs>
          <w:tab w:val="left" w:pos="0"/>
        </w:tabs>
        <w:spacing w:line="360" w:lineRule="exact"/>
        <w:ind w:left="426" w:hanging="284"/>
        <w:jc w:val="both"/>
        <w:rPr>
          <w:sz w:val="28"/>
          <w:szCs w:val="28"/>
        </w:rPr>
      </w:pPr>
      <w:r>
        <w:rPr>
          <w:sz w:val="28"/>
          <w:szCs w:val="28"/>
        </w:rPr>
        <w:t>промисловості</w:t>
      </w:r>
      <w:r w:rsidR="004136F0" w:rsidRPr="00BD7984">
        <w:rPr>
          <w:sz w:val="28"/>
          <w:szCs w:val="28"/>
        </w:rPr>
        <w:t xml:space="preserve"> </w:t>
      </w:r>
      <w:r w:rsidR="005F62B6" w:rsidRPr="00BD7984">
        <w:rPr>
          <w:sz w:val="28"/>
          <w:szCs w:val="28"/>
        </w:rPr>
        <w:t>–</w:t>
      </w:r>
      <w:r w:rsidRPr="004913FD">
        <w:rPr>
          <w:sz w:val="28"/>
          <w:szCs w:val="28"/>
          <w:lang w:val="ru-RU"/>
        </w:rPr>
        <w:t xml:space="preserve"> </w:t>
      </w:r>
      <w:r w:rsidR="005F62B6" w:rsidRPr="00BD7984">
        <w:rPr>
          <w:sz w:val="28"/>
          <w:szCs w:val="28"/>
        </w:rPr>
        <w:t xml:space="preserve">на </w:t>
      </w:r>
      <w:r w:rsidR="00B96B7E">
        <w:rPr>
          <w:sz w:val="28"/>
          <w:szCs w:val="28"/>
          <w:lang w:val="ru-RU"/>
        </w:rPr>
        <w:t>3</w:t>
      </w:r>
      <w:r w:rsidR="004136F0" w:rsidRPr="00BD7984">
        <w:rPr>
          <w:sz w:val="28"/>
          <w:szCs w:val="28"/>
        </w:rPr>
        <w:t>%</w:t>
      </w:r>
      <w:r w:rsidR="00643B31" w:rsidRPr="00BD7984">
        <w:rPr>
          <w:sz w:val="28"/>
          <w:szCs w:val="28"/>
        </w:rPr>
        <w:t>, з них</w:t>
      </w:r>
      <w:r w:rsidR="00B96B7E" w:rsidRPr="00B96B7E">
        <w:rPr>
          <w:sz w:val="28"/>
          <w:szCs w:val="28"/>
        </w:rPr>
        <w:t xml:space="preserve"> </w:t>
      </w:r>
      <w:r w:rsidR="00B96B7E" w:rsidRPr="007A0B4E">
        <w:rPr>
          <w:sz w:val="28"/>
          <w:szCs w:val="28"/>
        </w:rPr>
        <w:t xml:space="preserve">мазутів паливних важких </w:t>
      </w:r>
      <w:r w:rsidR="001607D2" w:rsidRPr="005A4B66">
        <w:rPr>
          <w:color w:val="000000"/>
          <w:sz w:val="28"/>
        </w:rPr>
        <w:t>–</w:t>
      </w:r>
      <w:r w:rsidR="00B96B7E" w:rsidRPr="007A0B4E">
        <w:rPr>
          <w:sz w:val="28"/>
          <w:szCs w:val="28"/>
        </w:rPr>
        <w:t xml:space="preserve"> </w:t>
      </w:r>
      <w:r w:rsidR="00B96B7E">
        <w:rPr>
          <w:sz w:val="28"/>
          <w:szCs w:val="28"/>
        </w:rPr>
        <w:t>на 90%,</w:t>
      </w:r>
      <w:r w:rsidR="00643B31" w:rsidRPr="00BD7984">
        <w:rPr>
          <w:sz w:val="28"/>
          <w:szCs w:val="28"/>
        </w:rPr>
        <w:t xml:space="preserve"> </w:t>
      </w:r>
      <w:r w:rsidR="00B96B7E" w:rsidRPr="007A0B4E">
        <w:rPr>
          <w:sz w:val="28"/>
          <w:szCs w:val="28"/>
        </w:rPr>
        <w:t xml:space="preserve">бутану і пропану скраплених – на </w:t>
      </w:r>
      <w:r w:rsidR="00B96B7E">
        <w:rPr>
          <w:sz w:val="28"/>
          <w:szCs w:val="28"/>
        </w:rPr>
        <w:t>11</w:t>
      </w:r>
      <w:r w:rsidR="00B96B7E" w:rsidRPr="007A0B4E">
        <w:rPr>
          <w:sz w:val="28"/>
          <w:szCs w:val="28"/>
        </w:rPr>
        <w:t>%</w:t>
      </w:r>
      <w:r w:rsidR="00B96B7E">
        <w:rPr>
          <w:sz w:val="28"/>
          <w:szCs w:val="28"/>
        </w:rPr>
        <w:t>,</w:t>
      </w:r>
      <w:r w:rsidR="00B96B7E" w:rsidRPr="00B96B7E">
        <w:rPr>
          <w:sz w:val="28"/>
          <w:szCs w:val="28"/>
        </w:rPr>
        <w:t xml:space="preserve"> </w:t>
      </w:r>
      <w:r w:rsidR="00B96B7E" w:rsidRPr="00BD7984">
        <w:rPr>
          <w:sz w:val="28"/>
          <w:szCs w:val="28"/>
        </w:rPr>
        <w:t xml:space="preserve">вугілля – на </w:t>
      </w:r>
      <w:r w:rsidR="00B96B7E">
        <w:rPr>
          <w:sz w:val="28"/>
          <w:szCs w:val="28"/>
          <w:lang w:val="ru-RU"/>
        </w:rPr>
        <w:t>8</w:t>
      </w:r>
      <w:r w:rsidR="005556C7">
        <w:rPr>
          <w:sz w:val="28"/>
          <w:szCs w:val="28"/>
          <w:lang w:val="ru-RU"/>
        </w:rPr>
        <w:t>%</w:t>
      </w:r>
      <w:r w:rsidR="00140777">
        <w:rPr>
          <w:sz w:val="28"/>
          <w:szCs w:val="28"/>
          <w:lang w:val="ru-RU"/>
        </w:rPr>
        <w:t>,</w:t>
      </w:r>
      <w:r w:rsidR="00225185" w:rsidRPr="00BD7984">
        <w:rPr>
          <w:sz w:val="28"/>
          <w:szCs w:val="28"/>
        </w:rPr>
        <w:t xml:space="preserve"> </w:t>
      </w:r>
      <w:r w:rsidR="006D11F5" w:rsidRPr="00C64C09">
        <w:rPr>
          <w:sz w:val="28"/>
          <w:szCs w:val="28"/>
        </w:rPr>
        <w:t>при одночасному з</w:t>
      </w:r>
      <w:r w:rsidR="005556C7">
        <w:rPr>
          <w:sz w:val="28"/>
          <w:szCs w:val="28"/>
        </w:rPr>
        <w:t>мен</w:t>
      </w:r>
      <w:r w:rsidR="006D11F5" w:rsidRPr="00C64C09">
        <w:rPr>
          <w:sz w:val="28"/>
          <w:szCs w:val="28"/>
        </w:rPr>
        <w:t>шен</w:t>
      </w:r>
      <w:r w:rsidR="0033687E">
        <w:rPr>
          <w:sz w:val="28"/>
          <w:szCs w:val="28"/>
        </w:rPr>
        <w:t>н</w:t>
      </w:r>
      <w:r w:rsidR="006D11F5" w:rsidRPr="00C64C09">
        <w:rPr>
          <w:sz w:val="28"/>
          <w:szCs w:val="28"/>
        </w:rPr>
        <w:t xml:space="preserve">і використання </w:t>
      </w:r>
      <w:r w:rsidR="005556C7" w:rsidRPr="00C64C09">
        <w:rPr>
          <w:sz w:val="28"/>
          <w:szCs w:val="28"/>
        </w:rPr>
        <w:t>природного газу –</w:t>
      </w:r>
      <w:r w:rsidR="005556C7">
        <w:rPr>
          <w:sz w:val="28"/>
          <w:szCs w:val="28"/>
        </w:rPr>
        <w:t xml:space="preserve"> на 5%,</w:t>
      </w:r>
      <w:r w:rsidR="005556C7" w:rsidRPr="005556C7">
        <w:t xml:space="preserve"> </w:t>
      </w:r>
      <w:r w:rsidR="005556C7" w:rsidRPr="005556C7">
        <w:rPr>
          <w:sz w:val="28"/>
          <w:szCs w:val="28"/>
        </w:rPr>
        <w:t xml:space="preserve">нафти, включаючи газовий </w:t>
      </w:r>
      <w:r w:rsidR="00140777">
        <w:rPr>
          <w:sz w:val="28"/>
          <w:szCs w:val="28"/>
        </w:rPr>
        <w:t xml:space="preserve"> </w:t>
      </w:r>
      <w:r w:rsidR="005556C7" w:rsidRPr="005556C7">
        <w:rPr>
          <w:sz w:val="28"/>
          <w:szCs w:val="28"/>
        </w:rPr>
        <w:t xml:space="preserve">конденсат </w:t>
      </w:r>
      <w:r w:rsidR="001607D2" w:rsidRPr="005A4B66">
        <w:rPr>
          <w:color w:val="000000"/>
          <w:sz w:val="28"/>
        </w:rPr>
        <w:t>–</w:t>
      </w:r>
      <w:r w:rsidR="005556C7" w:rsidRPr="005556C7">
        <w:rPr>
          <w:sz w:val="28"/>
          <w:szCs w:val="28"/>
        </w:rPr>
        <w:t xml:space="preserve"> на </w:t>
      </w:r>
      <w:r w:rsidR="005556C7">
        <w:rPr>
          <w:sz w:val="28"/>
          <w:szCs w:val="28"/>
        </w:rPr>
        <w:t>3</w:t>
      </w:r>
      <w:r w:rsidR="005556C7" w:rsidRPr="005556C7">
        <w:rPr>
          <w:sz w:val="28"/>
          <w:szCs w:val="28"/>
        </w:rPr>
        <w:t>%</w:t>
      </w:r>
      <w:r w:rsidR="00B96B7E">
        <w:rPr>
          <w:sz w:val="28"/>
          <w:szCs w:val="28"/>
        </w:rPr>
        <w:t>.</w:t>
      </w:r>
    </w:p>
    <w:p w:rsidR="00FB08DD" w:rsidRPr="007A0B4E" w:rsidRDefault="00FB08DD" w:rsidP="00FB08DD">
      <w:pPr>
        <w:tabs>
          <w:tab w:val="left" w:pos="0"/>
        </w:tabs>
        <w:spacing w:line="360" w:lineRule="exact"/>
        <w:ind w:left="426"/>
        <w:jc w:val="both"/>
        <w:rPr>
          <w:sz w:val="28"/>
          <w:szCs w:val="28"/>
        </w:rPr>
      </w:pPr>
    </w:p>
    <w:p w:rsidR="002A5D68" w:rsidRPr="00BD7984" w:rsidRDefault="00000F5D" w:rsidP="00F14CD9">
      <w:pPr>
        <w:tabs>
          <w:tab w:val="left" w:pos="0"/>
        </w:tabs>
        <w:jc w:val="both"/>
        <w:rPr>
          <w:sz w:val="28"/>
          <w:szCs w:val="28"/>
        </w:rPr>
      </w:pPr>
      <w:r w:rsidRPr="00BD7984">
        <w:rPr>
          <w:noProof/>
          <w:sz w:val="28"/>
          <w:szCs w:val="28"/>
          <w:lang w:eastAsia="uk-UA"/>
        </w:rPr>
        <w:drawing>
          <wp:inline distT="0" distB="0" distL="0" distR="0">
            <wp:extent cx="6032500" cy="3000375"/>
            <wp:effectExtent l="0" t="0" r="0" b="0"/>
            <wp:docPr id="68" name="Объект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B514A" w:rsidRPr="00BD7984" w:rsidRDefault="00AB514A" w:rsidP="00C432A2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2F149F">
        <w:rPr>
          <w:sz w:val="28"/>
          <w:szCs w:val="28"/>
        </w:rPr>
        <w:t xml:space="preserve">У </w:t>
      </w:r>
      <w:r w:rsidR="00D75741" w:rsidRPr="002F149F">
        <w:rPr>
          <w:sz w:val="28"/>
          <w:szCs w:val="28"/>
        </w:rPr>
        <w:t>20</w:t>
      </w:r>
      <w:r w:rsidR="003041E5" w:rsidRPr="002F149F">
        <w:rPr>
          <w:sz w:val="28"/>
          <w:szCs w:val="28"/>
        </w:rPr>
        <w:t>1</w:t>
      </w:r>
      <w:r w:rsidR="002F149F" w:rsidRPr="002F149F">
        <w:rPr>
          <w:sz w:val="28"/>
          <w:szCs w:val="28"/>
        </w:rPr>
        <w:t>6</w:t>
      </w:r>
      <w:r w:rsidRPr="002F149F">
        <w:rPr>
          <w:sz w:val="28"/>
          <w:szCs w:val="28"/>
        </w:rPr>
        <w:t>р.</w:t>
      </w:r>
      <w:r w:rsidRPr="00BD7984">
        <w:rPr>
          <w:sz w:val="28"/>
          <w:szCs w:val="28"/>
        </w:rPr>
        <w:t xml:space="preserve"> загальний обсяг </w:t>
      </w:r>
      <w:r w:rsidR="00A63362" w:rsidRPr="00BD7984">
        <w:rPr>
          <w:sz w:val="28"/>
          <w:szCs w:val="28"/>
        </w:rPr>
        <w:t>реалізації</w:t>
      </w:r>
      <w:r w:rsidR="0028220E" w:rsidRPr="00BD7984">
        <w:rPr>
          <w:sz w:val="28"/>
          <w:szCs w:val="28"/>
        </w:rPr>
        <w:t xml:space="preserve"> підприємствами </w:t>
      </w:r>
      <w:r w:rsidR="00D61994" w:rsidRPr="00BD7984">
        <w:rPr>
          <w:sz w:val="28"/>
          <w:szCs w:val="28"/>
        </w:rPr>
        <w:t>й</w:t>
      </w:r>
      <w:r w:rsidR="0028220E" w:rsidRPr="00BD7984">
        <w:rPr>
          <w:sz w:val="28"/>
          <w:szCs w:val="28"/>
        </w:rPr>
        <w:t xml:space="preserve"> організаціями</w:t>
      </w:r>
      <w:r w:rsidRPr="00BD7984">
        <w:rPr>
          <w:sz w:val="28"/>
          <w:szCs w:val="28"/>
        </w:rPr>
        <w:t xml:space="preserve"> палива</w:t>
      </w:r>
      <w:r w:rsidR="0028220E" w:rsidRPr="00BD7984">
        <w:rPr>
          <w:sz w:val="28"/>
          <w:szCs w:val="28"/>
        </w:rPr>
        <w:t xml:space="preserve"> </w:t>
      </w:r>
      <w:r w:rsidR="00F9689D" w:rsidRPr="00BD7984">
        <w:rPr>
          <w:sz w:val="28"/>
          <w:szCs w:val="28"/>
        </w:rPr>
        <w:t>населенню становив</w:t>
      </w:r>
      <w:r w:rsidR="00D14C65">
        <w:rPr>
          <w:sz w:val="28"/>
          <w:szCs w:val="28"/>
        </w:rPr>
        <w:t xml:space="preserve"> </w:t>
      </w:r>
      <w:r w:rsidR="00100A5F">
        <w:rPr>
          <w:sz w:val="28"/>
          <w:szCs w:val="28"/>
          <w:lang w:val="ru-RU"/>
        </w:rPr>
        <w:t>19</w:t>
      </w:r>
      <w:r w:rsidR="00AF039F">
        <w:rPr>
          <w:sz w:val="28"/>
          <w:szCs w:val="28"/>
          <w:lang w:val="ru-RU"/>
        </w:rPr>
        <w:t>,</w:t>
      </w:r>
      <w:r w:rsidR="00140777">
        <w:rPr>
          <w:sz w:val="28"/>
          <w:szCs w:val="28"/>
          <w:lang w:val="ru-RU"/>
        </w:rPr>
        <w:t>1</w:t>
      </w:r>
      <w:r w:rsidR="00F9689D" w:rsidRPr="00BD7984">
        <w:rPr>
          <w:sz w:val="28"/>
          <w:szCs w:val="28"/>
        </w:rPr>
        <w:t xml:space="preserve"> </w:t>
      </w:r>
      <w:proofErr w:type="spellStart"/>
      <w:r w:rsidR="00D61994" w:rsidRPr="00BD7984">
        <w:rPr>
          <w:sz w:val="28"/>
          <w:szCs w:val="28"/>
        </w:rPr>
        <w:t>млн.т</w:t>
      </w:r>
      <w:proofErr w:type="spellEnd"/>
      <w:r w:rsidRPr="00BD7984">
        <w:rPr>
          <w:sz w:val="28"/>
          <w:szCs w:val="28"/>
        </w:rPr>
        <w:t xml:space="preserve"> </w:t>
      </w:r>
      <w:proofErr w:type="spellStart"/>
      <w:r w:rsidR="007F6737">
        <w:rPr>
          <w:sz w:val="28"/>
          <w:szCs w:val="28"/>
        </w:rPr>
        <w:t>у</w:t>
      </w:r>
      <w:r w:rsidR="00712837">
        <w:rPr>
          <w:sz w:val="28"/>
          <w:szCs w:val="28"/>
        </w:rPr>
        <w:t>мов</w:t>
      </w:r>
      <w:r w:rsidR="007F6737">
        <w:rPr>
          <w:sz w:val="28"/>
          <w:szCs w:val="28"/>
        </w:rPr>
        <w:t>.п</w:t>
      </w:r>
      <w:r w:rsidR="00712837">
        <w:rPr>
          <w:sz w:val="28"/>
          <w:szCs w:val="28"/>
        </w:rPr>
        <w:t>алив</w:t>
      </w:r>
      <w:proofErr w:type="spellEnd"/>
      <w:r w:rsidRPr="00BD7984">
        <w:rPr>
          <w:sz w:val="28"/>
          <w:szCs w:val="28"/>
        </w:rPr>
        <w:t xml:space="preserve">, що </w:t>
      </w:r>
      <w:r w:rsidR="00100A5F">
        <w:rPr>
          <w:sz w:val="28"/>
          <w:szCs w:val="28"/>
        </w:rPr>
        <w:t xml:space="preserve">майже </w:t>
      </w:r>
      <w:r w:rsidRPr="00BD7984">
        <w:rPr>
          <w:sz w:val="28"/>
          <w:szCs w:val="28"/>
        </w:rPr>
        <w:t xml:space="preserve">на </w:t>
      </w:r>
      <w:r w:rsidR="00100A5F">
        <w:rPr>
          <w:sz w:val="28"/>
          <w:szCs w:val="28"/>
        </w:rPr>
        <w:t>6</w:t>
      </w:r>
      <w:r w:rsidR="00F9689D" w:rsidRPr="00BD7984">
        <w:rPr>
          <w:sz w:val="28"/>
          <w:szCs w:val="28"/>
        </w:rPr>
        <w:t xml:space="preserve">% </w:t>
      </w:r>
      <w:r w:rsidR="00910319" w:rsidRPr="00BD7984">
        <w:rPr>
          <w:sz w:val="28"/>
          <w:szCs w:val="28"/>
        </w:rPr>
        <w:t>менше</w:t>
      </w:r>
      <w:r w:rsidR="00A074C1" w:rsidRPr="00BD7984">
        <w:rPr>
          <w:sz w:val="28"/>
          <w:szCs w:val="28"/>
        </w:rPr>
        <w:t>,</w:t>
      </w:r>
      <w:r w:rsidRPr="00BD7984">
        <w:rPr>
          <w:sz w:val="28"/>
          <w:szCs w:val="28"/>
        </w:rPr>
        <w:t xml:space="preserve"> ніж у попередньому році. </w:t>
      </w:r>
      <w:r w:rsidRPr="00FF5B03">
        <w:rPr>
          <w:sz w:val="28"/>
          <w:szCs w:val="28"/>
        </w:rPr>
        <w:t xml:space="preserve">Порівняно з </w:t>
      </w:r>
      <w:r w:rsidR="00F9689D" w:rsidRPr="00FF5B03">
        <w:rPr>
          <w:sz w:val="28"/>
          <w:szCs w:val="28"/>
        </w:rPr>
        <w:t>20</w:t>
      </w:r>
      <w:r w:rsidR="003041E5" w:rsidRPr="00FF5B03">
        <w:rPr>
          <w:sz w:val="28"/>
          <w:szCs w:val="28"/>
        </w:rPr>
        <w:t>1</w:t>
      </w:r>
      <w:r w:rsidR="00100A5F">
        <w:rPr>
          <w:sz w:val="28"/>
          <w:szCs w:val="28"/>
        </w:rPr>
        <w:t>5</w:t>
      </w:r>
      <w:r w:rsidR="00F9689D" w:rsidRPr="00FF5B03">
        <w:rPr>
          <w:sz w:val="28"/>
          <w:szCs w:val="28"/>
        </w:rPr>
        <w:t>р.</w:t>
      </w:r>
      <w:r w:rsidR="00F9689D" w:rsidRPr="00BD7984">
        <w:rPr>
          <w:sz w:val="28"/>
          <w:szCs w:val="28"/>
        </w:rPr>
        <w:t xml:space="preserve"> </w:t>
      </w:r>
      <w:r w:rsidR="00D43ECB" w:rsidRPr="00BD7984">
        <w:rPr>
          <w:sz w:val="28"/>
          <w:szCs w:val="28"/>
        </w:rPr>
        <w:t>зменшилися</w:t>
      </w:r>
      <w:r w:rsidRPr="00BD7984">
        <w:rPr>
          <w:sz w:val="28"/>
          <w:szCs w:val="28"/>
        </w:rPr>
        <w:t xml:space="preserve"> обсяги </w:t>
      </w:r>
      <w:r w:rsidR="00A63362" w:rsidRPr="00BD7984">
        <w:rPr>
          <w:sz w:val="28"/>
          <w:szCs w:val="28"/>
        </w:rPr>
        <w:t>реалізації</w:t>
      </w:r>
      <w:r w:rsidRPr="00BD7984">
        <w:rPr>
          <w:sz w:val="28"/>
          <w:szCs w:val="28"/>
        </w:rPr>
        <w:t xml:space="preserve"> населенню</w:t>
      </w:r>
      <w:r w:rsidR="00522D78" w:rsidRPr="00BD7984">
        <w:rPr>
          <w:sz w:val="28"/>
          <w:szCs w:val="28"/>
        </w:rPr>
        <w:t xml:space="preserve"> </w:t>
      </w:r>
      <w:r w:rsidR="00360EDD" w:rsidRPr="00BD7984">
        <w:rPr>
          <w:sz w:val="28"/>
          <w:szCs w:val="28"/>
        </w:rPr>
        <w:t xml:space="preserve">бензину моторного </w:t>
      </w:r>
      <w:r w:rsidR="00423C0E" w:rsidRPr="00BD7984">
        <w:rPr>
          <w:sz w:val="28"/>
          <w:szCs w:val="28"/>
        </w:rPr>
        <w:t xml:space="preserve">– на </w:t>
      </w:r>
      <w:r w:rsidR="002448E1" w:rsidRPr="002448E1">
        <w:rPr>
          <w:sz w:val="28"/>
          <w:szCs w:val="28"/>
        </w:rPr>
        <w:t>10</w:t>
      </w:r>
      <w:r w:rsidR="00423C0E" w:rsidRPr="002448E1">
        <w:rPr>
          <w:sz w:val="28"/>
          <w:szCs w:val="28"/>
        </w:rPr>
        <w:t>%</w:t>
      </w:r>
      <w:r w:rsidR="00423C0E" w:rsidRPr="00BD7984">
        <w:rPr>
          <w:sz w:val="28"/>
          <w:szCs w:val="28"/>
        </w:rPr>
        <w:t xml:space="preserve">, </w:t>
      </w:r>
      <w:proofErr w:type="spellStart"/>
      <w:r w:rsidR="00FF5B03" w:rsidRPr="00BD7984">
        <w:rPr>
          <w:sz w:val="28"/>
          <w:szCs w:val="28"/>
        </w:rPr>
        <w:t>газойлів</w:t>
      </w:r>
      <w:proofErr w:type="spellEnd"/>
      <w:r w:rsidR="00FF5B03" w:rsidRPr="00BD7984">
        <w:rPr>
          <w:sz w:val="28"/>
          <w:szCs w:val="28"/>
        </w:rPr>
        <w:t xml:space="preserve"> – на </w:t>
      </w:r>
      <w:r w:rsidR="002448E1" w:rsidRPr="002448E1">
        <w:rPr>
          <w:sz w:val="28"/>
          <w:szCs w:val="28"/>
        </w:rPr>
        <w:t>12</w:t>
      </w:r>
      <w:r w:rsidR="00FF5B03" w:rsidRPr="002448E1">
        <w:rPr>
          <w:sz w:val="28"/>
          <w:szCs w:val="28"/>
        </w:rPr>
        <w:t>%</w:t>
      </w:r>
      <w:r w:rsidR="00FF5B03">
        <w:rPr>
          <w:sz w:val="28"/>
          <w:szCs w:val="28"/>
        </w:rPr>
        <w:t>,</w:t>
      </w:r>
      <w:r w:rsidR="002F149F" w:rsidRPr="002F149F">
        <w:rPr>
          <w:sz w:val="28"/>
          <w:szCs w:val="28"/>
        </w:rPr>
        <w:t xml:space="preserve"> </w:t>
      </w:r>
      <w:r w:rsidR="002F149F" w:rsidRPr="00AF039F">
        <w:rPr>
          <w:sz w:val="28"/>
          <w:szCs w:val="28"/>
        </w:rPr>
        <w:t>вугілля</w:t>
      </w:r>
      <w:r w:rsidR="002F149F">
        <w:rPr>
          <w:sz w:val="28"/>
          <w:szCs w:val="28"/>
        </w:rPr>
        <w:t xml:space="preserve"> </w:t>
      </w:r>
      <w:r w:rsidR="002F149F" w:rsidRPr="00BD7984">
        <w:rPr>
          <w:sz w:val="28"/>
          <w:szCs w:val="28"/>
        </w:rPr>
        <w:t>–</w:t>
      </w:r>
      <w:r w:rsidR="002F149F" w:rsidRPr="00AF039F">
        <w:rPr>
          <w:sz w:val="28"/>
          <w:szCs w:val="28"/>
        </w:rPr>
        <w:t xml:space="preserve"> на </w:t>
      </w:r>
      <w:r w:rsidR="002F149F">
        <w:rPr>
          <w:sz w:val="28"/>
          <w:szCs w:val="28"/>
        </w:rPr>
        <w:t>12</w:t>
      </w:r>
      <w:r w:rsidR="002F149F" w:rsidRPr="00AF039F">
        <w:rPr>
          <w:sz w:val="28"/>
          <w:szCs w:val="28"/>
        </w:rPr>
        <w:t>%</w:t>
      </w:r>
      <w:r w:rsidR="002F149F">
        <w:rPr>
          <w:sz w:val="28"/>
          <w:szCs w:val="28"/>
        </w:rPr>
        <w:t>,</w:t>
      </w:r>
      <w:r w:rsidR="00FF5B03">
        <w:rPr>
          <w:sz w:val="28"/>
          <w:szCs w:val="28"/>
        </w:rPr>
        <w:t xml:space="preserve"> </w:t>
      </w:r>
      <w:r w:rsidR="00DF2E12">
        <w:rPr>
          <w:sz w:val="28"/>
          <w:szCs w:val="28"/>
        </w:rPr>
        <w:t>природного газу</w:t>
      </w:r>
      <w:r w:rsidR="00887A73" w:rsidRPr="00BD7984">
        <w:rPr>
          <w:sz w:val="28"/>
          <w:szCs w:val="28"/>
        </w:rPr>
        <w:t xml:space="preserve"> </w:t>
      </w:r>
      <w:r w:rsidR="00423C0E" w:rsidRPr="00BD7984">
        <w:rPr>
          <w:sz w:val="28"/>
          <w:szCs w:val="28"/>
        </w:rPr>
        <w:t xml:space="preserve">– на </w:t>
      </w:r>
      <w:r w:rsidR="002F149F">
        <w:rPr>
          <w:sz w:val="28"/>
          <w:szCs w:val="28"/>
        </w:rPr>
        <w:t>4</w:t>
      </w:r>
      <w:r w:rsidR="00423C0E" w:rsidRPr="00BD7984">
        <w:rPr>
          <w:sz w:val="28"/>
          <w:szCs w:val="28"/>
        </w:rPr>
        <w:t xml:space="preserve">%. </w:t>
      </w:r>
      <w:r w:rsidR="004763FA">
        <w:rPr>
          <w:sz w:val="28"/>
          <w:szCs w:val="28"/>
        </w:rPr>
        <w:t>У</w:t>
      </w:r>
      <w:r w:rsidRPr="00BD7984">
        <w:rPr>
          <w:sz w:val="28"/>
          <w:szCs w:val="28"/>
        </w:rPr>
        <w:t xml:space="preserve"> структурі </w:t>
      </w:r>
      <w:r w:rsidR="00C76F60" w:rsidRPr="00BD7984">
        <w:rPr>
          <w:sz w:val="28"/>
          <w:szCs w:val="28"/>
        </w:rPr>
        <w:t>реалізованого</w:t>
      </w:r>
      <w:r w:rsidRPr="00BD7984">
        <w:rPr>
          <w:sz w:val="28"/>
          <w:szCs w:val="28"/>
        </w:rPr>
        <w:t xml:space="preserve"> палива населенн</w:t>
      </w:r>
      <w:r w:rsidR="00521CE3" w:rsidRPr="00BD7984">
        <w:rPr>
          <w:sz w:val="28"/>
          <w:szCs w:val="28"/>
        </w:rPr>
        <w:t xml:space="preserve">ю </w:t>
      </w:r>
      <w:r w:rsidR="0032547D">
        <w:rPr>
          <w:sz w:val="28"/>
          <w:szCs w:val="28"/>
        </w:rPr>
        <w:t xml:space="preserve">суттєвих </w:t>
      </w:r>
      <w:r w:rsidR="00B12DC9" w:rsidRPr="00BD7984">
        <w:rPr>
          <w:sz w:val="28"/>
          <w:szCs w:val="28"/>
        </w:rPr>
        <w:t>змін не відбул</w:t>
      </w:r>
      <w:r w:rsidR="0032547D">
        <w:rPr>
          <w:sz w:val="28"/>
          <w:szCs w:val="28"/>
        </w:rPr>
        <w:t>о</w:t>
      </w:r>
      <w:r w:rsidR="00B12DC9" w:rsidRPr="00BD7984">
        <w:rPr>
          <w:sz w:val="28"/>
          <w:szCs w:val="28"/>
        </w:rPr>
        <w:t xml:space="preserve">сь, традиційно найбільше використання припало на </w:t>
      </w:r>
      <w:r w:rsidR="00521CE3" w:rsidRPr="00BD7984">
        <w:rPr>
          <w:sz w:val="28"/>
          <w:szCs w:val="28"/>
        </w:rPr>
        <w:t xml:space="preserve">природний </w:t>
      </w:r>
      <w:r w:rsidR="00E10F08" w:rsidRPr="00BD7984">
        <w:rPr>
          <w:sz w:val="28"/>
          <w:szCs w:val="28"/>
        </w:rPr>
        <w:t xml:space="preserve">газ </w:t>
      </w:r>
      <w:r w:rsidR="00F9689D" w:rsidRPr="00BD7984">
        <w:rPr>
          <w:sz w:val="28"/>
          <w:szCs w:val="28"/>
        </w:rPr>
        <w:t>(</w:t>
      </w:r>
      <w:r w:rsidR="0032547D">
        <w:rPr>
          <w:sz w:val="28"/>
          <w:szCs w:val="28"/>
        </w:rPr>
        <w:t>6</w:t>
      </w:r>
      <w:r w:rsidR="002F149F">
        <w:rPr>
          <w:sz w:val="28"/>
          <w:szCs w:val="28"/>
        </w:rPr>
        <w:t>9</w:t>
      </w:r>
      <w:r w:rsidR="00521CE3" w:rsidRPr="00BD7984">
        <w:rPr>
          <w:sz w:val="28"/>
          <w:szCs w:val="28"/>
        </w:rPr>
        <w:t>%), бензин моторний (1</w:t>
      </w:r>
      <w:r w:rsidR="00FF5B03">
        <w:rPr>
          <w:sz w:val="28"/>
          <w:szCs w:val="28"/>
        </w:rPr>
        <w:t>3</w:t>
      </w:r>
      <w:r w:rsidRPr="00BD7984">
        <w:rPr>
          <w:sz w:val="28"/>
          <w:szCs w:val="28"/>
        </w:rPr>
        <w:t>%) та</w:t>
      </w:r>
      <w:r w:rsidR="00521CE3" w:rsidRPr="00BD7984">
        <w:rPr>
          <w:sz w:val="26"/>
          <w:szCs w:val="26"/>
        </w:rPr>
        <w:t xml:space="preserve"> </w:t>
      </w:r>
      <w:proofErr w:type="spellStart"/>
      <w:r w:rsidR="00521CE3" w:rsidRPr="00BD7984">
        <w:rPr>
          <w:sz w:val="28"/>
          <w:szCs w:val="28"/>
        </w:rPr>
        <w:t>газойлі</w:t>
      </w:r>
      <w:proofErr w:type="spellEnd"/>
      <w:r w:rsidR="00EB4209" w:rsidRPr="00BD7984">
        <w:rPr>
          <w:sz w:val="28"/>
          <w:szCs w:val="28"/>
        </w:rPr>
        <w:t xml:space="preserve"> </w:t>
      </w:r>
      <w:r w:rsidR="00521CE3" w:rsidRPr="00BD7984">
        <w:rPr>
          <w:sz w:val="28"/>
          <w:szCs w:val="28"/>
        </w:rPr>
        <w:t>(</w:t>
      </w:r>
      <w:r w:rsidR="002F149F">
        <w:rPr>
          <w:sz w:val="28"/>
          <w:szCs w:val="28"/>
        </w:rPr>
        <w:t>9</w:t>
      </w:r>
      <w:r w:rsidRPr="00BD7984">
        <w:rPr>
          <w:sz w:val="28"/>
          <w:szCs w:val="28"/>
        </w:rPr>
        <w:t>%).</w:t>
      </w:r>
    </w:p>
    <w:p w:rsidR="00025E2C" w:rsidRDefault="00025E2C" w:rsidP="004B399B">
      <w:pPr>
        <w:pStyle w:val="1"/>
        <w:rPr>
          <w:sz w:val="22"/>
          <w:szCs w:val="22"/>
          <w:lang w:val="uk-UA"/>
        </w:rPr>
      </w:pPr>
    </w:p>
    <w:p w:rsidR="00044BA5" w:rsidRDefault="00044BA5" w:rsidP="004B399B">
      <w:pPr>
        <w:pStyle w:val="1"/>
        <w:rPr>
          <w:sz w:val="22"/>
          <w:szCs w:val="22"/>
          <w:lang w:val="uk-UA"/>
        </w:rPr>
      </w:pPr>
    </w:p>
    <w:p w:rsidR="00044BA5" w:rsidRDefault="00044BA5" w:rsidP="004B399B">
      <w:pPr>
        <w:pStyle w:val="1"/>
        <w:rPr>
          <w:sz w:val="22"/>
          <w:szCs w:val="22"/>
          <w:lang w:val="uk-UA"/>
        </w:rPr>
      </w:pPr>
    </w:p>
    <w:p w:rsidR="00044BA5" w:rsidRDefault="00044BA5" w:rsidP="004B399B">
      <w:pPr>
        <w:pStyle w:val="1"/>
        <w:rPr>
          <w:sz w:val="22"/>
          <w:szCs w:val="22"/>
          <w:lang w:val="uk-UA"/>
        </w:rPr>
      </w:pPr>
    </w:p>
    <w:p w:rsidR="00101A9C" w:rsidRDefault="00101A9C" w:rsidP="004B399B">
      <w:pPr>
        <w:pStyle w:val="1"/>
        <w:rPr>
          <w:sz w:val="22"/>
          <w:szCs w:val="22"/>
          <w:lang w:val="uk-UA"/>
        </w:rPr>
      </w:pPr>
    </w:p>
    <w:p w:rsidR="00101A9C" w:rsidRDefault="00101A9C" w:rsidP="004B399B">
      <w:pPr>
        <w:pStyle w:val="1"/>
        <w:rPr>
          <w:sz w:val="22"/>
          <w:szCs w:val="22"/>
          <w:lang w:val="uk-UA"/>
        </w:rPr>
      </w:pPr>
    </w:p>
    <w:p w:rsidR="00025E2C" w:rsidRDefault="00025E2C" w:rsidP="004B399B">
      <w:pPr>
        <w:pStyle w:val="1"/>
        <w:rPr>
          <w:sz w:val="22"/>
          <w:szCs w:val="22"/>
          <w:lang w:val="uk-UA"/>
        </w:rPr>
      </w:pPr>
    </w:p>
    <w:p w:rsidR="0074634C" w:rsidRPr="00BD7984" w:rsidRDefault="007D1C4A" w:rsidP="0074634C">
      <w:pPr>
        <w:pStyle w:val="1"/>
        <w:rPr>
          <w:sz w:val="28"/>
          <w:szCs w:val="28"/>
          <w:lang w:val="uk-UA"/>
        </w:rPr>
      </w:pPr>
      <w:r w:rsidRPr="00BD7984">
        <w:rPr>
          <w:sz w:val="28"/>
          <w:szCs w:val="28"/>
          <w:lang w:val="uk-UA"/>
        </w:rPr>
        <w:t xml:space="preserve">Божко </w:t>
      </w:r>
      <w:r w:rsidR="0074634C" w:rsidRPr="00BD7984">
        <w:rPr>
          <w:sz w:val="28"/>
          <w:szCs w:val="28"/>
          <w:lang w:val="uk-UA"/>
        </w:rPr>
        <w:t>287</w:t>
      </w:r>
      <w:r w:rsidR="00FF5B03">
        <w:rPr>
          <w:sz w:val="28"/>
          <w:szCs w:val="28"/>
          <w:lang w:val="uk-UA"/>
        </w:rPr>
        <w:t xml:space="preserve"> 62 33</w:t>
      </w:r>
    </w:p>
    <w:p w:rsidR="0074634C" w:rsidRPr="00E139BF" w:rsidRDefault="009A34B6" w:rsidP="0074634C">
      <w:pPr>
        <w:pStyle w:val="1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Вих</w:t>
      </w:r>
      <w:proofErr w:type="spellEnd"/>
      <w:r>
        <w:rPr>
          <w:sz w:val="28"/>
          <w:szCs w:val="28"/>
          <w:lang w:val="uk-UA"/>
        </w:rPr>
        <w:t xml:space="preserve">. № </w:t>
      </w:r>
      <w:r w:rsidR="00AB4E5C">
        <w:rPr>
          <w:sz w:val="28"/>
          <w:szCs w:val="28"/>
          <w:lang w:val="uk-UA"/>
        </w:rPr>
        <w:t>228/0/08.4.вн-17</w:t>
      </w:r>
    </w:p>
    <w:p w:rsidR="00836E9D" w:rsidRPr="00BD7984" w:rsidRDefault="0074634C" w:rsidP="0074634C">
      <w:pPr>
        <w:pStyle w:val="1"/>
        <w:rPr>
          <w:sz w:val="28"/>
          <w:szCs w:val="28"/>
          <w:lang w:val="uk-UA"/>
        </w:rPr>
      </w:pPr>
      <w:r w:rsidRPr="0074634C">
        <w:rPr>
          <w:sz w:val="28"/>
          <w:szCs w:val="28"/>
          <w:lang w:val="uk-UA"/>
        </w:rPr>
        <w:t>від</w:t>
      </w:r>
      <w:r w:rsidR="009A34B6">
        <w:rPr>
          <w:sz w:val="28"/>
          <w:szCs w:val="28"/>
          <w:lang w:val="uk-UA"/>
        </w:rPr>
        <w:t xml:space="preserve"> </w:t>
      </w:r>
      <w:r w:rsidR="00E139BF">
        <w:rPr>
          <w:sz w:val="28"/>
          <w:szCs w:val="28"/>
          <w:lang w:val="uk-UA"/>
        </w:rPr>
        <w:t>1</w:t>
      </w:r>
      <w:r w:rsidR="00AB4E5C">
        <w:rPr>
          <w:sz w:val="28"/>
          <w:szCs w:val="28"/>
          <w:lang w:val="uk-UA"/>
        </w:rPr>
        <w:t>5</w:t>
      </w:r>
      <w:r w:rsidR="00E139BF">
        <w:rPr>
          <w:sz w:val="28"/>
          <w:szCs w:val="28"/>
          <w:lang w:val="uk-UA"/>
        </w:rPr>
        <w:t>.06.201</w:t>
      </w:r>
      <w:r w:rsidR="00311CF1">
        <w:rPr>
          <w:sz w:val="28"/>
          <w:szCs w:val="28"/>
          <w:lang w:val="uk-UA"/>
        </w:rPr>
        <w:t>7</w:t>
      </w:r>
    </w:p>
    <w:sectPr w:rsidR="00836E9D" w:rsidRPr="00BD7984" w:rsidSect="00CC052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93E27"/>
    <w:multiLevelType w:val="hybridMultilevel"/>
    <w:tmpl w:val="2D9AC494"/>
    <w:lvl w:ilvl="0" w:tplc="BABEA3BA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675EC2"/>
    <w:multiLevelType w:val="hybridMultilevel"/>
    <w:tmpl w:val="1778CC10"/>
    <w:lvl w:ilvl="0" w:tplc="BABEA3BA">
      <w:start w:val="1"/>
      <w:numFmt w:val="bullet"/>
      <w:lvlText w:val="˗"/>
      <w:lvlJc w:val="left"/>
      <w:pPr>
        <w:ind w:left="150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D68"/>
    <w:rsid w:val="00000AB6"/>
    <w:rsid w:val="00000F5D"/>
    <w:rsid w:val="00004358"/>
    <w:rsid w:val="00004396"/>
    <w:rsid w:val="000116AF"/>
    <w:rsid w:val="00014BF2"/>
    <w:rsid w:val="000230E6"/>
    <w:rsid w:val="000233CE"/>
    <w:rsid w:val="0002530E"/>
    <w:rsid w:val="00025E2C"/>
    <w:rsid w:val="00032908"/>
    <w:rsid w:val="00032E13"/>
    <w:rsid w:val="00033AB7"/>
    <w:rsid w:val="00044BA5"/>
    <w:rsid w:val="00047773"/>
    <w:rsid w:val="000479C3"/>
    <w:rsid w:val="00047F03"/>
    <w:rsid w:val="000535E4"/>
    <w:rsid w:val="00055661"/>
    <w:rsid w:val="00062C56"/>
    <w:rsid w:val="00071EF4"/>
    <w:rsid w:val="00074A30"/>
    <w:rsid w:val="00074B58"/>
    <w:rsid w:val="00080060"/>
    <w:rsid w:val="0008206F"/>
    <w:rsid w:val="0008479A"/>
    <w:rsid w:val="00085AA7"/>
    <w:rsid w:val="00090669"/>
    <w:rsid w:val="0009373D"/>
    <w:rsid w:val="00093D95"/>
    <w:rsid w:val="00095672"/>
    <w:rsid w:val="000A142A"/>
    <w:rsid w:val="000A5D7F"/>
    <w:rsid w:val="000A7075"/>
    <w:rsid w:val="000B2F97"/>
    <w:rsid w:val="000B35B8"/>
    <w:rsid w:val="000B4939"/>
    <w:rsid w:val="000B6E69"/>
    <w:rsid w:val="000B7B2F"/>
    <w:rsid w:val="000C2EAB"/>
    <w:rsid w:val="000C4783"/>
    <w:rsid w:val="000C56B2"/>
    <w:rsid w:val="000D3FFD"/>
    <w:rsid w:val="000D43F4"/>
    <w:rsid w:val="000D6E1D"/>
    <w:rsid w:val="000E16DC"/>
    <w:rsid w:val="000E4B5A"/>
    <w:rsid w:val="000E59FC"/>
    <w:rsid w:val="000E7473"/>
    <w:rsid w:val="000F0FA2"/>
    <w:rsid w:val="001004ED"/>
    <w:rsid w:val="00100A5F"/>
    <w:rsid w:val="00101A9C"/>
    <w:rsid w:val="00120366"/>
    <w:rsid w:val="00121A85"/>
    <w:rsid w:val="001324E0"/>
    <w:rsid w:val="001375B3"/>
    <w:rsid w:val="00137DF8"/>
    <w:rsid w:val="00140777"/>
    <w:rsid w:val="00143AB7"/>
    <w:rsid w:val="00144E61"/>
    <w:rsid w:val="00145BA1"/>
    <w:rsid w:val="001511BF"/>
    <w:rsid w:val="001607D2"/>
    <w:rsid w:val="001640C2"/>
    <w:rsid w:val="00167AA2"/>
    <w:rsid w:val="001712B9"/>
    <w:rsid w:val="00173C9E"/>
    <w:rsid w:val="0017536F"/>
    <w:rsid w:val="001777B3"/>
    <w:rsid w:val="001824FC"/>
    <w:rsid w:val="00182ED5"/>
    <w:rsid w:val="001866EC"/>
    <w:rsid w:val="00187BCB"/>
    <w:rsid w:val="00191916"/>
    <w:rsid w:val="00196A95"/>
    <w:rsid w:val="001A05C0"/>
    <w:rsid w:val="001A55DD"/>
    <w:rsid w:val="001B1F88"/>
    <w:rsid w:val="001C0204"/>
    <w:rsid w:val="001C0C14"/>
    <w:rsid w:val="001C23FA"/>
    <w:rsid w:val="001C29E3"/>
    <w:rsid w:val="001C59AE"/>
    <w:rsid w:val="001D3A34"/>
    <w:rsid w:val="001D69B7"/>
    <w:rsid w:val="001D76A8"/>
    <w:rsid w:val="001E13EE"/>
    <w:rsid w:val="001E7630"/>
    <w:rsid w:val="001E7CF5"/>
    <w:rsid w:val="001F002E"/>
    <w:rsid w:val="001F01AE"/>
    <w:rsid w:val="001F61D8"/>
    <w:rsid w:val="001F626D"/>
    <w:rsid w:val="00200C21"/>
    <w:rsid w:val="00205B03"/>
    <w:rsid w:val="00211066"/>
    <w:rsid w:val="002154FC"/>
    <w:rsid w:val="00225185"/>
    <w:rsid w:val="00226F02"/>
    <w:rsid w:val="00230E04"/>
    <w:rsid w:val="00231F04"/>
    <w:rsid w:val="00232A89"/>
    <w:rsid w:val="00232F2F"/>
    <w:rsid w:val="002408A0"/>
    <w:rsid w:val="00241226"/>
    <w:rsid w:val="002413FD"/>
    <w:rsid w:val="002448E1"/>
    <w:rsid w:val="002469F6"/>
    <w:rsid w:val="0025030A"/>
    <w:rsid w:val="00254717"/>
    <w:rsid w:val="0025714B"/>
    <w:rsid w:val="00266023"/>
    <w:rsid w:val="00267579"/>
    <w:rsid w:val="0027100E"/>
    <w:rsid w:val="00281E17"/>
    <w:rsid w:val="0028220E"/>
    <w:rsid w:val="002850AA"/>
    <w:rsid w:val="00292ADE"/>
    <w:rsid w:val="002932C6"/>
    <w:rsid w:val="00294AFB"/>
    <w:rsid w:val="002A3457"/>
    <w:rsid w:val="002A53FC"/>
    <w:rsid w:val="002A5814"/>
    <w:rsid w:val="002A5D68"/>
    <w:rsid w:val="002A63F2"/>
    <w:rsid w:val="002B2355"/>
    <w:rsid w:val="002B4A31"/>
    <w:rsid w:val="002B4C53"/>
    <w:rsid w:val="002B5B69"/>
    <w:rsid w:val="002B68C2"/>
    <w:rsid w:val="002C0869"/>
    <w:rsid w:val="002C26C4"/>
    <w:rsid w:val="002C3CCB"/>
    <w:rsid w:val="002C48D7"/>
    <w:rsid w:val="002D0DE1"/>
    <w:rsid w:val="002D2682"/>
    <w:rsid w:val="002D5B43"/>
    <w:rsid w:val="002E6F0B"/>
    <w:rsid w:val="002F03C8"/>
    <w:rsid w:val="002F13EE"/>
    <w:rsid w:val="002F149F"/>
    <w:rsid w:val="002F4ACB"/>
    <w:rsid w:val="002F50F6"/>
    <w:rsid w:val="002F6145"/>
    <w:rsid w:val="002F799A"/>
    <w:rsid w:val="0030261B"/>
    <w:rsid w:val="003041E5"/>
    <w:rsid w:val="00311CF1"/>
    <w:rsid w:val="00324993"/>
    <w:rsid w:val="0032547D"/>
    <w:rsid w:val="00330585"/>
    <w:rsid w:val="00330EA5"/>
    <w:rsid w:val="00330F59"/>
    <w:rsid w:val="00336063"/>
    <w:rsid w:val="0033687E"/>
    <w:rsid w:val="00337F03"/>
    <w:rsid w:val="00353A6A"/>
    <w:rsid w:val="00353EDA"/>
    <w:rsid w:val="00354806"/>
    <w:rsid w:val="00360EDD"/>
    <w:rsid w:val="00364AF3"/>
    <w:rsid w:val="00367D99"/>
    <w:rsid w:val="003724A4"/>
    <w:rsid w:val="00375629"/>
    <w:rsid w:val="003823BE"/>
    <w:rsid w:val="00384557"/>
    <w:rsid w:val="00385DEF"/>
    <w:rsid w:val="00387FE2"/>
    <w:rsid w:val="0039116A"/>
    <w:rsid w:val="00392D50"/>
    <w:rsid w:val="0039342C"/>
    <w:rsid w:val="003A2669"/>
    <w:rsid w:val="003A2D97"/>
    <w:rsid w:val="003A4CD5"/>
    <w:rsid w:val="003A6F22"/>
    <w:rsid w:val="003B63B1"/>
    <w:rsid w:val="003B777D"/>
    <w:rsid w:val="003C0F2B"/>
    <w:rsid w:val="003C3D2C"/>
    <w:rsid w:val="003C666C"/>
    <w:rsid w:val="003E27A9"/>
    <w:rsid w:val="003E409E"/>
    <w:rsid w:val="003E5017"/>
    <w:rsid w:val="003F4B23"/>
    <w:rsid w:val="00400E5E"/>
    <w:rsid w:val="00401D78"/>
    <w:rsid w:val="0040229B"/>
    <w:rsid w:val="004027FA"/>
    <w:rsid w:val="004100FE"/>
    <w:rsid w:val="004136F0"/>
    <w:rsid w:val="004212E2"/>
    <w:rsid w:val="00423C0E"/>
    <w:rsid w:val="00425FA7"/>
    <w:rsid w:val="00434112"/>
    <w:rsid w:val="004344AB"/>
    <w:rsid w:val="00435F21"/>
    <w:rsid w:val="004362EB"/>
    <w:rsid w:val="0044336B"/>
    <w:rsid w:val="004444AB"/>
    <w:rsid w:val="00445076"/>
    <w:rsid w:val="00445BFD"/>
    <w:rsid w:val="004567CC"/>
    <w:rsid w:val="00456FCA"/>
    <w:rsid w:val="0047190E"/>
    <w:rsid w:val="00472ED2"/>
    <w:rsid w:val="004763FA"/>
    <w:rsid w:val="00476BFC"/>
    <w:rsid w:val="00483824"/>
    <w:rsid w:val="00485915"/>
    <w:rsid w:val="00486183"/>
    <w:rsid w:val="004913FD"/>
    <w:rsid w:val="00496259"/>
    <w:rsid w:val="00496759"/>
    <w:rsid w:val="004B399B"/>
    <w:rsid w:val="004B5361"/>
    <w:rsid w:val="004B64E7"/>
    <w:rsid w:val="004C34A8"/>
    <w:rsid w:val="004C7A39"/>
    <w:rsid w:val="004D0163"/>
    <w:rsid w:val="004D4890"/>
    <w:rsid w:val="004D68A9"/>
    <w:rsid w:val="004E3795"/>
    <w:rsid w:val="004E5B38"/>
    <w:rsid w:val="004E5D53"/>
    <w:rsid w:val="004E6BD5"/>
    <w:rsid w:val="00503C98"/>
    <w:rsid w:val="00505636"/>
    <w:rsid w:val="005117FE"/>
    <w:rsid w:val="00511FA0"/>
    <w:rsid w:val="005151BA"/>
    <w:rsid w:val="00515BB4"/>
    <w:rsid w:val="00516F53"/>
    <w:rsid w:val="0052195B"/>
    <w:rsid w:val="00521CE3"/>
    <w:rsid w:val="00522D78"/>
    <w:rsid w:val="00524887"/>
    <w:rsid w:val="00524FE9"/>
    <w:rsid w:val="0053063E"/>
    <w:rsid w:val="00535863"/>
    <w:rsid w:val="00536EBE"/>
    <w:rsid w:val="00537689"/>
    <w:rsid w:val="00540802"/>
    <w:rsid w:val="00543FE0"/>
    <w:rsid w:val="005556C7"/>
    <w:rsid w:val="00555E68"/>
    <w:rsid w:val="00565296"/>
    <w:rsid w:val="00566B68"/>
    <w:rsid w:val="005720B2"/>
    <w:rsid w:val="00575335"/>
    <w:rsid w:val="005804A0"/>
    <w:rsid w:val="005833B6"/>
    <w:rsid w:val="00584AE0"/>
    <w:rsid w:val="00586A82"/>
    <w:rsid w:val="00594F90"/>
    <w:rsid w:val="005A4B66"/>
    <w:rsid w:val="005A75C6"/>
    <w:rsid w:val="005B3A15"/>
    <w:rsid w:val="005C2343"/>
    <w:rsid w:val="005C7327"/>
    <w:rsid w:val="005D2D2C"/>
    <w:rsid w:val="005D5117"/>
    <w:rsid w:val="005D6BDA"/>
    <w:rsid w:val="005E36A4"/>
    <w:rsid w:val="005E428A"/>
    <w:rsid w:val="005F32E1"/>
    <w:rsid w:val="005F5D9B"/>
    <w:rsid w:val="005F62B6"/>
    <w:rsid w:val="005F678A"/>
    <w:rsid w:val="00600701"/>
    <w:rsid w:val="00601503"/>
    <w:rsid w:val="00606E6F"/>
    <w:rsid w:val="00614D1C"/>
    <w:rsid w:val="00615F6C"/>
    <w:rsid w:val="00616D82"/>
    <w:rsid w:val="006235E8"/>
    <w:rsid w:val="0062763C"/>
    <w:rsid w:val="00627F8A"/>
    <w:rsid w:val="0063113C"/>
    <w:rsid w:val="0063235F"/>
    <w:rsid w:val="006338C9"/>
    <w:rsid w:val="00633994"/>
    <w:rsid w:val="00634614"/>
    <w:rsid w:val="00634883"/>
    <w:rsid w:val="0063498B"/>
    <w:rsid w:val="00643B31"/>
    <w:rsid w:val="006455EF"/>
    <w:rsid w:val="00645D70"/>
    <w:rsid w:val="006510FF"/>
    <w:rsid w:val="00653790"/>
    <w:rsid w:val="00657665"/>
    <w:rsid w:val="0066077B"/>
    <w:rsid w:val="00665B77"/>
    <w:rsid w:val="006724C3"/>
    <w:rsid w:val="00676298"/>
    <w:rsid w:val="00677476"/>
    <w:rsid w:val="00685015"/>
    <w:rsid w:val="00691C0C"/>
    <w:rsid w:val="00696140"/>
    <w:rsid w:val="006972B9"/>
    <w:rsid w:val="006A1DEA"/>
    <w:rsid w:val="006A4EAA"/>
    <w:rsid w:val="006B2016"/>
    <w:rsid w:val="006B4ADC"/>
    <w:rsid w:val="006C39CC"/>
    <w:rsid w:val="006D11F5"/>
    <w:rsid w:val="006D5FAB"/>
    <w:rsid w:val="006E41F5"/>
    <w:rsid w:val="006E6912"/>
    <w:rsid w:val="006E74FE"/>
    <w:rsid w:val="006F0EA7"/>
    <w:rsid w:val="006F125F"/>
    <w:rsid w:val="006F5BD0"/>
    <w:rsid w:val="006F6505"/>
    <w:rsid w:val="0070013A"/>
    <w:rsid w:val="00702254"/>
    <w:rsid w:val="00704D66"/>
    <w:rsid w:val="00706A56"/>
    <w:rsid w:val="00712837"/>
    <w:rsid w:val="00713C62"/>
    <w:rsid w:val="0072141D"/>
    <w:rsid w:val="0072226A"/>
    <w:rsid w:val="00723039"/>
    <w:rsid w:val="00725667"/>
    <w:rsid w:val="007328F6"/>
    <w:rsid w:val="00734E4B"/>
    <w:rsid w:val="007355CC"/>
    <w:rsid w:val="00735DF6"/>
    <w:rsid w:val="00741FEC"/>
    <w:rsid w:val="0074634C"/>
    <w:rsid w:val="00747F00"/>
    <w:rsid w:val="007538AC"/>
    <w:rsid w:val="00754EBE"/>
    <w:rsid w:val="0075539C"/>
    <w:rsid w:val="0075705A"/>
    <w:rsid w:val="007577CA"/>
    <w:rsid w:val="00760D0D"/>
    <w:rsid w:val="007636A7"/>
    <w:rsid w:val="007647FA"/>
    <w:rsid w:val="00764858"/>
    <w:rsid w:val="00772459"/>
    <w:rsid w:val="007733E9"/>
    <w:rsid w:val="00773CDB"/>
    <w:rsid w:val="00773E25"/>
    <w:rsid w:val="007772B2"/>
    <w:rsid w:val="007774FD"/>
    <w:rsid w:val="007779D6"/>
    <w:rsid w:val="00781B27"/>
    <w:rsid w:val="0079044C"/>
    <w:rsid w:val="00790937"/>
    <w:rsid w:val="007914EA"/>
    <w:rsid w:val="00793147"/>
    <w:rsid w:val="0079372B"/>
    <w:rsid w:val="007942FA"/>
    <w:rsid w:val="007A0B4E"/>
    <w:rsid w:val="007C0EB5"/>
    <w:rsid w:val="007D08E7"/>
    <w:rsid w:val="007D1C4A"/>
    <w:rsid w:val="007D1E6C"/>
    <w:rsid w:val="007D221C"/>
    <w:rsid w:val="007D7BDA"/>
    <w:rsid w:val="007E177A"/>
    <w:rsid w:val="007E7C11"/>
    <w:rsid w:val="007E7FED"/>
    <w:rsid w:val="007F383C"/>
    <w:rsid w:val="007F3FAC"/>
    <w:rsid w:val="007F6737"/>
    <w:rsid w:val="00800DBB"/>
    <w:rsid w:val="00803FBF"/>
    <w:rsid w:val="0080611E"/>
    <w:rsid w:val="008156D1"/>
    <w:rsid w:val="008339E2"/>
    <w:rsid w:val="00836E9D"/>
    <w:rsid w:val="008477E0"/>
    <w:rsid w:val="008535D6"/>
    <w:rsid w:val="00856B2C"/>
    <w:rsid w:val="00862D36"/>
    <w:rsid w:val="008635D5"/>
    <w:rsid w:val="00863621"/>
    <w:rsid w:val="0086482D"/>
    <w:rsid w:val="00864EC2"/>
    <w:rsid w:val="00866DE0"/>
    <w:rsid w:val="00867F52"/>
    <w:rsid w:val="00870773"/>
    <w:rsid w:val="00873100"/>
    <w:rsid w:val="0087447D"/>
    <w:rsid w:val="0087497C"/>
    <w:rsid w:val="00877403"/>
    <w:rsid w:val="00887A73"/>
    <w:rsid w:val="00891539"/>
    <w:rsid w:val="00893A81"/>
    <w:rsid w:val="008A72CA"/>
    <w:rsid w:val="008B1731"/>
    <w:rsid w:val="008B6B74"/>
    <w:rsid w:val="008C1C52"/>
    <w:rsid w:val="008C2BC6"/>
    <w:rsid w:val="008C5DD8"/>
    <w:rsid w:val="008D2DA2"/>
    <w:rsid w:val="008D6B38"/>
    <w:rsid w:val="008E3F3E"/>
    <w:rsid w:val="008E6D4C"/>
    <w:rsid w:val="008F1523"/>
    <w:rsid w:val="008F2019"/>
    <w:rsid w:val="009024D7"/>
    <w:rsid w:val="009055EC"/>
    <w:rsid w:val="00906F91"/>
    <w:rsid w:val="00910319"/>
    <w:rsid w:val="0091104C"/>
    <w:rsid w:val="00917197"/>
    <w:rsid w:val="009225FF"/>
    <w:rsid w:val="00925411"/>
    <w:rsid w:val="0092576C"/>
    <w:rsid w:val="00933AAE"/>
    <w:rsid w:val="00935350"/>
    <w:rsid w:val="00936BBF"/>
    <w:rsid w:val="00940277"/>
    <w:rsid w:val="0095562F"/>
    <w:rsid w:val="00975E3A"/>
    <w:rsid w:val="009806A7"/>
    <w:rsid w:val="009814E6"/>
    <w:rsid w:val="00982CB5"/>
    <w:rsid w:val="00987CAB"/>
    <w:rsid w:val="00991AFD"/>
    <w:rsid w:val="00996479"/>
    <w:rsid w:val="009A0563"/>
    <w:rsid w:val="009A34B6"/>
    <w:rsid w:val="009B132A"/>
    <w:rsid w:val="009B1CC2"/>
    <w:rsid w:val="009B37B7"/>
    <w:rsid w:val="009C23AD"/>
    <w:rsid w:val="009D0199"/>
    <w:rsid w:val="009D19F8"/>
    <w:rsid w:val="009D2D92"/>
    <w:rsid w:val="009D36E4"/>
    <w:rsid w:val="009D4EE0"/>
    <w:rsid w:val="009D6D1B"/>
    <w:rsid w:val="009F3D81"/>
    <w:rsid w:val="009F5491"/>
    <w:rsid w:val="009F6201"/>
    <w:rsid w:val="00A034C2"/>
    <w:rsid w:val="00A074C1"/>
    <w:rsid w:val="00A07726"/>
    <w:rsid w:val="00A12D78"/>
    <w:rsid w:val="00A13614"/>
    <w:rsid w:val="00A174F4"/>
    <w:rsid w:val="00A21538"/>
    <w:rsid w:val="00A2690B"/>
    <w:rsid w:val="00A26B6D"/>
    <w:rsid w:val="00A37449"/>
    <w:rsid w:val="00A3787C"/>
    <w:rsid w:val="00A4205C"/>
    <w:rsid w:val="00A4239A"/>
    <w:rsid w:val="00A469E3"/>
    <w:rsid w:val="00A512D7"/>
    <w:rsid w:val="00A51874"/>
    <w:rsid w:val="00A52393"/>
    <w:rsid w:val="00A572A8"/>
    <w:rsid w:val="00A574A5"/>
    <w:rsid w:val="00A601BF"/>
    <w:rsid w:val="00A60CE8"/>
    <w:rsid w:val="00A612EE"/>
    <w:rsid w:val="00A62812"/>
    <w:rsid w:val="00A63362"/>
    <w:rsid w:val="00A663AD"/>
    <w:rsid w:val="00A66A1E"/>
    <w:rsid w:val="00A67355"/>
    <w:rsid w:val="00A70E9B"/>
    <w:rsid w:val="00A713B5"/>
    <w:rsid w:val="00A71C65"/>
    <w:rsid w:val="00A77335"/>
    <w:rsid w:val="00A8402C"/>
    <w:rsid w:val="00A855E9"/>
    <w:rsid w:val="00A9224A"/>
    <w:rsid w:val="00A9494B"/>
    <w:rsid w:val="00AA130D"/>
    <w:rsid w:val="00AA196B"/>
    <w:rsid w:val="00AA2078"/>
    <w:rsid w:val="00AA393D"/>
    <w:rsid w:val="00AA4B13"/>
    <w:rsid w:val="00AB2D24"/>
    <w:rsid w:val="00AB4E5C"/>
    <w:rsid w:val="00AB514A"/>
    <w:rsid w:val="00AC6212"/>
    <w:rsid w:val="00AD37D4"/>
    <w:rsid w:val="00AD73E7"/>
    <w:rsid w:val="00AE0D17"/>
    <w:rsid w:val="00AE5C28"/>
    <w:rsid w:val="00AF01C3"/>
    <w:rsid w:val="00AF039F"/>
    <w:rsid w:val="00AF0457"/>
    <w:rsid w:val="00B003B7"/>
    <w:rsid w:val="00B01822"/>
    <w:rsid w:val="00B0665E"/>
    <w:rsid w:val="00B12DC9"/>
    <w:rsid w:val="00B223E5"/>
    <w:rsid w:val="00B26ABF"/>
    <w:rsid w:val="00B31C92"/>
    <w:rsid w:val="00B33494"/>
    <w:rsid w:val="00B3716A"/>
    <w:rsid w:val="00B41A44"/>
    <w:rsid w:val="00B43264"/>
    <w:rsid w:val="00B55F8F"/>
    <w:rsid w:val="00B6667F"/>
    <w:rsid w:val="00B7147C"/>
    <w:rsid w:val="00B7215C"/>
    <w:rsid w:val="00B74B3A"/>
    <w:rsid w:val="00B80AA4"/>
    <w:rsid w:val="00B92D75"/>
    <w:rsid w:val="00B96B7E"/>
    <w:rsid w:val="00BA35FA"/>
    <w:rsid w:val="00BA7327"/>
    <w:rsid w:val="00BB03B6"/>
    <w:rsid w:val="00BC026B"/>
    <w:rsid w:val="00BC1264"/>
    <w:rsid w:val="00BC2A6E"/>
    <w:rsid w:val="00BC6BB0"/>
    <w:rsid w:val="00BC6E17"/>
    <w:rsid w:val="00BD25B7"/>
    <w:rsid w:val="00BD3F54"/>
    <w:rsid w:val="00BD4657"/>
    <w:rsid w:val="00BD7984"/>
    <w:rsid w:val="00BE2C64"/>
    <w:rsid w:val="00BE3383"/>
    <w:rsid w:val="00BE6E7A"/>
    <w:rsid w:val="00BF01B3"/>
    <w:rsid w:val="00C02769"/>
    <w:rsid w:val="00C10A14"/>
    <w:rsid w:val="00C10C4E"/>
    <w:rsid w:val="00C132D4"/>
    <w:rsid w:val="00C13BBA"/>
    <w:rsid w:val="00C20E9C"/>
    <w:rsid w:val="00C24B54"/>
    <w:rsid w:val="00C26A43"/>
    <w:rsid w:val="00C27A32"/>
    <w:rsid w:val="00C303B2"/>
    <w:rsid w:val="00C34A76"/>
    <w:rsid w:val="00C35B24"/>
    <w:rsid w:val="00C41A1D"/>
    <w:rsid w:val="00C432A2"/>
    <w:rsid w:val="00C43E8F"/>
    <w:rsid w:val="00C505CD"/>
    <w:rsid w:val="00C64C09"/>
    <w:rsid w:val="00C65ACF"/>
    <w:rsid w:val="00C6772D"/>
    <w:rsid w:val="00C7055B"/>
    <w:rsid w:val="00C75772"/>
    <w:rsid w:val="00C76F60"/>
    <w:rsid w:val="00C77BB0"/>
    <w:rsid w:val="00C867D8"/>
    <w:rsid w:val="00C909B9"/>
    <w:rsid w:val="00C9131C"/>
    <w:rsid w:val="00CB46D0"/>
    <w:rsid w:val="00CB4D38"/>
    <w:rsid w:val="00CB4E91"/>
    <w:rsid w:val="00CC0523"/>
    <w:rsid w:val="00CC23AC"/>
    <w:rsid w:val="00CC40E8"/>
    <w:rsid w:val="00CC477A"/>
    <w:rsid w:val="00CC6AE6"/>
    <w:rsid w:val="00CD0871"/>
    <w:rsid w:val="00CD30A9"/>
    <w:rsid w:val="00CE55C0"/>
    <w:rsid w:val="00CF4131"/>
    <w:rsid w:val="00CF4C42"/>
    <w:rsid w:val="00D00F9C"/>
    <w:rsid w:val="00D129F7"/>
    <w:rsid w:val="00D14C65"/>
    <w:rsid w:val="00D15417"/>
    <w:rsid w:val="00D15A54"/>
    <w:rsid w:val="00D219A0"/>
    <w:rsid w:val="00D22637"/>
    <w:rsid w:val="00D2538E"/>
    <w:rsid w:val="00D3760D"/>
    <w:rsid w:val="00D43ECB"/>
    <w:rsid w:val="00D50BE1"/>
    <w:rsid w:val="00D535AD"/>
    <w:rsid w:val="00D5646E"/>
    <w:rsid w:val="00D57F68"/>
    <w:rsid w:val="00D6114C"/>
    <w:rsid w:val="00D61994"/>
    <w:rsid w:val="00D634B3"/>
    <w:rsid w:val="00D6373D"/>
    <w:rsid w:val="00D661ED"/>
    <w:rsid w:val="00D67989"/>
    <w:rsid w:val="00D731C0"/>
    <w:rsid w:val="00D749EB"/>
    <w:rsid w:val="00D75741"/>
    <w:rsid w:val="00D805F5"/>
    <w:rsid w:val="00D80BAE"/>
    <w:rsid w:val="00D80F78"/>
    <w:rsid w:val="00D90D87"/>
    <w:rsid w:val="00D9450E"/>
    <w:rsid w:val="00D94889"/>
    <w:rsid w:val="00DA1D4B"/>
    <w:rsid w:val="00DA2D0D"/>
    <w:rsid w:val="00DA6319"/>
    <w:rsid w:val="00DA697F"/>
    <w:rsid w:val="00DB3907"/>
    <w:rsid w:val="00DC7B82"/>
    <w:rsid w:val="00DC7DE3"/>
    <w:rsid w:val="00DC7F4E"/>
    <w:rsid w:val="00DD05BE"/>
    <w:rsid w:val="00DD0821"/>
    <w:rsid w:val="00DD70E5"/>
    <w:rsid w:val="00DD72E6"/>
    <w:rsid w:val="00DE0771"/>
    <w:rsid w:val="00DE5347"/>
    <w:rsid w:val="00DF214D"/>
    <w:rsid w:val="00DF21DD"/>
    <w:rsid w:val="00DF2E12"/>
    <w:rsid w:val="00E0268B"/>
    <w:rsid w:val="00E03A22"/>
    <w:rsid w:val="00E04C65"/>
    <w:rsid w:val="00E07D40"/>
    <w:rsid w:val="00E10F08"/>
    <w:rsid w:val="00E139BF"/>
    <w:rsid w:val="00E15711"/>
    <w:rsid w:val="00E15814"/>
    <w:rsid w:val="00E2056F"/>
    <w:rsid w:val="00E2349E"/>
    <w:rsid w:val="00E2464F"/>
    <w:rsid w:val="00E252CF"/>
    <w:rsid w:val="00E3158B"/>
    <w:rsid w:val="00E31A9E"/>
    <w:rsid w:val="00E3385E"/>
    <w:rsid w:val="00E36A80"/>
    <w:rsid w:val="00E40D7B"/>
    <w:rsid w:val="00E42775"/>
    <w:rsid w:val="00E43A6E"/>
    <w:rsid w:val="00E54F26"/>
    <w:rsid w:val="00E66E13"/>
    <w:rsid w:val="00E672AF"/>
    <w:rsid w:val="00E72F13"/>
    <w:rsid w:val="00E755D9"/>
    <w:rsid w:val="00E7602A"/>
    <w:rsid w:val="00E7678D"/>
    <w:rsid w:val="00E81C8E"/>
    <w:rsid w:val="00E87745"/>
    <w:rsid w:val="00E91D00"/>
    <w:rsid w:val="00E91F18"/>
    <w:rsid w:val="00E92B4B"/>
    <w:rsid w:val="00E960D8"/>
    <w:rsid w:val="00EA442C"/>
    <w:rsid w:val="00EB36AB"/>
    <w:rsid w:val="00EB4209"/>
    <w:rsid w:val="00EB78B0"/>
    <w:rsid w:val="00EC07EB"/>
    <w:rsid w:val="00EC23F2"/>
    <w:rsid w:val="00EC5035"/>
    <w:rsid w:val="00ED03C4"/>
    <w:rsid w:val="00ED4313"/>
    <w:rsid w:val="00ED494B"/>
    <w:rsid w:val="00ED6A83"/>
    <w:rsid w:val="00ED7C1D"/>
    <w:rsid w:val="00EE21C8"/>
    <w:rsid w:val="00EE2A6C"/>
    <w:rsid w:val="00EE5067"/>
    <w:rsid w:val="00EE6618"/>
    <w:rsid w:val="00EE73CE"/>
    <w:rsid w:val="00EF12CB"/>
    <w:rsid w:val="00EF5ABC"/>
    <w:rsid w:val="00EF7F16"/>
    <w:rsid w:val="00F00786"/>
    <w:rsid w:val="00F067FC"/>
    <w:rsid w:val="00F11D8B"/>
    <w:rsid w:val="00F14CD9"/>
    <w:rsid w:val="00F257B8"/>
    <w:rsid w:val="00F25F47"/>
    <w:rsid w:val="00F30AB7"/>
    <w:rsid w:val="00F31330"/>
    <w:rsid w:val="00F36037"/>
    <w:rsid w:val="00F43674"/>
    <w:rsid w:val="00F676A5"/>
    <w:rsid w:val="00F70E7F"/>
    <w:rsid w:val="00F7795E"/>
    <w:rsid w:val="00F77C5D"/>
    <w:rsid w:val="00F917B0"/>
    <w:rsid w:val="00F93370"/>
    <w:rsid w:val="00F956C2"/>
    <w:rsid w:val="00F9689D"/>
    <w:rsid w:val="00FA0132"/>
    <w:rsid w:val="00FA31A6"/>
    <w:rsid w:val="00FA64FA"/>
    <w:rsid w:val="00FA6616"/>
    <w:rsid w:val="00FA6B1B"/>
    <w:rsid w:val="00FA704A"/>
    <w:rsid w:val="00FA7991"/>
    <w:rsid w:val="00FB08DD"/>
    <w:rsid w:val="00FB172D"/>
    <w:rsid w:val="00FB1D57"/>
    <w:rsid w:val="00FC49E8"/>
    <w:rsid w:val="00FD4072"/>
    <w:rsid w:val="00FE0CEB"/>
    <w:rsid w:val="00FE254F"/>
    <w:rsid w:val="00FE5195"/>
    <w:rsid w:val="00FE56A2"/>
    <w:rsid w:val="00FE5D4B"/>
    <w:rsid w:val="00FE5D88"/>
    <w:rsid w:val="00FE6D9D"/>
    <w:rsid w:val="00FF0A94"/>
    <w:rsid w:val="00FF3C81"/>
    <w:rsid w:val="00FF5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9C9A0-BDB1-42CB-BC8D-31B37019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D6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A5D68"/>
    <w:pPr>
      <w:autoSpaceDE w:val="0"/>
      <w:autoSpaceDN w:val="0"/>
      <w:ind w:right="140" w:firstLine="851"/>
      <w:jc w:val="both"/>
    </w:pPr>
    <w:rPr>
      <w:sz w:val="28"/>
      <w:szCs w:val="28"/>
    </w:rPr>
  </w:style>
  <w:style w:type="paragraph" w:customStyle="1" w:styleId="1">
    <w:name w:val="Обычный1"/>
    <w:rsid w:val="002A5D68"/>
    <w:rPr>
      <w:snapToGrid w:val="0"/>
      <w:lang w:val="ru-RU" w:eastAsia="ru-RU"/>
    </w:rPr>
  </w:style>
  <w:style w:type="paragraph" w:styleId="a4">
    <w:name w:val="Balloon Text"/>
    <w:basedOn w:val="a"/>
    <w:semiHidden/>
    <w:rsid w:val="00BD25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634C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5">
    <w:name w:val="Table Grid"/>
    <w:basedOn w:val="a1"/>
    <w:uiPriority w:val="39"/>
    <w:rsid w:val="002F0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3.xlsx"/><Relationship Id="rId1" Type="http://schemas.openxmlformats.org/officeDocument/2006/relationships/image" Target="../media/image1.pn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330935251798566E-2"/>
          <c:y val="0.13310403684202052"/>
          <c:w val="0.86007171181524389"/>
          <c:h val="0.5756868428256283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pattFill prst="dotGrid">
                <a:fgClr>
                  <a:schemeClr val="tx1"/>
                </a:fgClr>
                <a:bgClr>
                  <a:srgbClr val="75B5FB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pct60">
                <a:fgClr>
                  <a:schemeClr val="bg2">
                    <a:lumMod val="50000"/>
                  </a:schemeClr>
                </a:fgClr>
                <a:bgClr>
                  <a:srgbClr val="660033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pct20">
                <a:fgClr>
                  <a:schemeClr val="tx1"/>
                </a:fgClr>
                <a:bgClr>
                  <a:schemeClr val="bg1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pattFill prst="ltDnDiag">
                <a:fgClr>
                  <a:schemeClr val="tx1"/>
                </a:fgClr>
                <a:bgClr>
                  <a:srgbClr val="00999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4.8547016038579596E-2"/>
                  <c:y val="-8.4143439125324057E-2"/>
                </c:manualLayout>
              </c:layout>
              <c:tx>
                <c:rich>
                  <a:bodyPr/>
                  <a:lstStyle/>
                  <a:p>
                    <a:fld id="{BF30DF6F-8445-4792-9CFA-A91564ADAD0C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5.6560462409731248E-2"/>
                  <c:y val="3.5573804808141311E-2"/>
                </c:manualLayout>
              </c:layout>
              <c:tx>
                <c:rich>
                  <a:bodyPr/>
                  <a:lstStyle/>
                  <a:p>
                    <a:fld id="{DF13F363-8FBF-477A-A8E3-421879031BF3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1.9206340929238151E-2"/>
                  <c:y val="7.2198562136254599E-2"/>
                </c:manualLayout>
              </c:layout>
              <c:tx>
                <c:rich>
                  <a:bodyPr/>
                  <a:lstStyle/>
                  <a:p>
                    <a:fld id="{0380E540-ED7C-42DF-9121-8D327CAF61B5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2.9196025821447643E-2"/>
                  <c:y val="-3.4957891133173567E-2"/>
                </c:manualLayout>
              </c:layout>
              <c:tx>
                <c:rich>
                  <a:bodyPr/>
                  <a:lstStyle/>
                  <a:p>
                    <a:fld id="{5011D8B9-FA55-4B2C-973C-F8EDAB508D87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0.17493098201606055"/>
                  <c:y val="-8.6950920945497966E-3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 sz="1000" baseline="0">
                        <a:latin typeface="Times New Roman" panose="02020603050405020304" pitchFamily="18" charset="0"/>
                      </a:defRPr>
                    </a:pPr>
                    <a:fld id="{D3EF207C-F0B5-4426-AC30-7734BF04A7A1}" type="VALUE">
                      <a:rPr lang="en-US"/>
                      <a:pPr>
                        <a:defRPr sz="1000" baseline="0">
                          <a:latin typeface="Times New Roman" panose="02020603050405020304" pitchFamily="18" charset="0"/>
                        </a:defRPr>
                      </a:pPr>
                      <a:t>[ЗНАЧЕНИЕ]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8430034129692832"/>
                      <c:h val="8.9855072463768115E-2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aseline="0">
                    <a:latin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Природний газ</c:v>
                </c:pt>
                <c:pt idx="1">
                  <c:v>Вугілля</c:v>
                </c:pt>
                <c:pt idx="2">
                  <c:v>Нафтопродукти</c:v>
                </c:pt>
                <c:pt idx="3">
                  <c:v> Кокс і напівкокс</c:v>
                </c:pt>
                <c:pt idx="4">
                  <c:v>Інші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34.700000000000003</c:v>
                </c:pt>
                <c:pt idx="1">
                  <c:v>30.9</c:v>
                </c:pt>
                <c:pt idx="2">
                  <c:v>11.6</c:v>
                </c:pt>
                <c:pt idx="3">
                  <c:v>11.7</c:v>
                </c:pt>
                <c:pt idx="4">
                  <c:v>11.099999999999998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12700">
          <a:noFill/>
          <a:prstDash val="solid"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330935251798566E-2"/>
          <c:y val="0.13310403684202052"/>
          <c:w val="0.86007171181524389"/>
          <c:h val="0.5756868428256283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pattFill prst="dotGrid">
                <a:fgClr>
                  <a:schemeClr val="tx1"/>
                </a:fgClr>
                <a:bgClr>
                  <a:srgbClr val="75B5FB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pct60">
                <a:fgClr>
                  <a:schemeClr val="bg2">
                    <a:lumMod val="50000"/>
                  </a:schemeClr>
                </a:fgClr>
                <a:bgClr>
                  <a:srgbClr val="660033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pct20">
                <a:fgClr>
                  <a:schemeClr val="tx1"/>
                </a:fgClr>
                <a:bgClr>
                  <a:schemeClr val="bg1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pattFill prst="ltDnDiag">
                <a:fgClr>
                  <a:schemeClr val="tx1"/>
                </a:fgClr>
                <a:bgClr>
                  <a:srgbClr val="009999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4.8547016038579596E-2"/>
                  <c:y val="-8.4143439125324057E-2"/>
                </c:manualLayout>
              </c:layout>
              <c:tx>
                <c:rich>
                  <a:bodyPr/>
                  <a:lstStyle/>
                  <a:p>
                    <a:fld id="{BF30DF6F-8445-4792-9CFA-A91564ADAD0C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5.6560462409731248E-2"/>
                  <c:y val="3.5573804808141311E-2"/>
                </c:manualLayout>
              </c:layout>
              <c:tx>
                <c:rich>
                  <a:bodyPr/>
                  <a:lstStyle/>
                  <a:p>
                    <a:fld id="{DF13F363-8FBF-477A-A8E3-421879031BF3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1.9206340929238151E-2"/>
                  <c:y val="7.2198562136254599E-2"/>
                </c:manualLayout>
              </c:layout>
              <c:tx>
                <c:rich>
                  <a:bodyPr/>
                  <a:lstStyle/>
                  <a:p>
                    <a:fld id="{0380E540-ED7C-42DF-9121-8D327CAF61B5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2.9196025821447643E-2"/>
                  <c:y val="-3.4957891133173567E-2"/>
                </c:manualLayout>
              </c:layout>
              <c:tx>
                <c:rich>
                  <a:bodyPr/>
                  <a:lstStyle/>
                  <a:p>
                    <a:fld id="{5011D8B9-FA55-4B2C-973C-F8EDAB508D87}" type="VALUE">
                      <a:rPr lang="en-US"/>
                      <a:pPr/>
                      <a:t>[ЗНАЧЕНИЕ]</a:t>
                    </a:fld>
                    <a:endParaRPr lang="uk-UA"/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0.17493098201606055"/>
                  <c:y val="-8.6950920945497966E-3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 sz="1000" baseline="0">
                        <a:latin typeface="Times New Roman" panose="02020603050405020304" pitchFamily="18" charset="0"/>
                      </a:defRPr>
                    </a:pPr>
                    <a:fld id="{D3EF207C-F0B5-4426-AC30-7734BF04A7A1}" type="VALUE">
                      <a:rPr lang="en-US"/>
                      <a:pPr>
                        <a:defRPr sz="1000" baseline="0">
                          <a:latin typeface="Times New Roman" panose="02020603050405020304" pitchFamily="18" charset="0"/>
                        </a:defRPr>
                      </a:pPr>
                      <a:t>[ЗНАЧЕНИЕ]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8430034129692832"/>
                      <c:h val="8.9855072463768115E-2"/>
                    </c:manualLayout>
                  </c15:layout>
                  <c15:dlblFieldTable/>
                  <c15:showDataLabelsRange val="0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aseline="0">
                    <a:latin typeface="Times New Roman" panose="02020603050405020304" pitchFamily="18" charset="0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Sheet1!$B$1:$F$1</c:f>
              <c:strCache>
                <c:ptCount val="5"/>
                <c:pt idx="0">
                  <c:v>Природний газ</c:v>
                </c:pt>
                <c:pt idx="1">
                  <c:v>Вугілля</c:v>
                </c:pt>
                <c:pt idx="2">
                  <c:v>Нафтопродукти</c:v>
                </c:pt>
                <c:pt idx="3">
                  <c:v> Кокс і напівкокс</c:v>
                </c:pt>
                <c:pt idx="4">
                  <c:v>Інші</c:v>
                </c:pt>
              </c:strCache>
            </c:strRef>
          </c:cat>
          <c:val>
            <c:numRef>
              <c:f>Sheet1!$B$2:$F$2</c:f>
              <c:numCache>
                <c:formatCode>0.0</c:formatCode>
                <c:ptCount val="5"/>
                <c:pt idx="0">
                  <c:v>34.299999999999997</c:v>
                </c:pt>
                <c:pt idx="1">
                  <c:v>31.8</c:v>
                </c:pt>
                <c:pt idx="2">
                  <c:v>11.9</c:v>
                </c:pt>
                <c:pt idx="3">
                  <c:v>11.2</c:v>
                </c:pt>
                <c:pt idx="4">
                  <c:v>10.8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 w="12700">
          <a:noFill/>
          <a:prstDash val="solid"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Arial Cyr"/>
              </a:defRPr>
            </a:pPr>
            <a:r>
              <a:rPr lang="uk-UA" sz="1400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cs typeface="Arial Cyr"/>
              </a:rPr>
              <a:t>Розподіл використання палива </a:t>
            </a:r>
          </a:p>
          <a:p>
            <a:pPr>
              <a:defRPr sz="14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ea typeface="Arial Cyr"/>
                <a:cs typeface="Arial Cyr"/>
              </a:defRPr>
            </a:pPr>
            <a:r>
              <a:rPr lang="uk-UA" sz="1400" b="1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cs typeface="Arial Cyr"/>
              </a:rPr>
              <a:t>за видами економічної діяльності, </a:t>
            </a:r>
            <a:r>
              <a:rPr lang="uk-UA" sz="1400" b="0" i="0" u="none" strike="noStrike" baseline="0">
                <a:solidFill>
                  <a:srgbClr val="000000"/>
                </a:solidFill>
                <a:latin typeface="Times New Roman" panose="02020603050405020304" pitchFamily="18" charset="0"/>
                <a:cs typeface="Arial Cyr"/>
              </a:rPr>
              <a:t>у %</a:t>
            </a:r>
          </a:p>
        </c:rich>
      </c:tx>
      <c:layout>
        <c:manualLayout>
          <c:xMode val="edge"/>
          <c:yMode val="edge"/>
          <c:x val="0.2651006711409396"/>
          <c:y val="5.4708005249343833E-4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5.8724832214765099E-2"/>
          <c:y val="0.20491558642505928"/>
          <c:w val="0.8976510067114094"/>
          <c:h val="0.43630573248407645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Лист1!$A$3</c:f>
              <c:strCache>
                <c:ptCount val="1"/>
                <c:pt idx="0">
                  <c:v>промисловість</c:v>
                </c:pt>
              </c:strCache>
            </c:strRef>
          </c:tx>
          <c:spPr>
            <a:blipFill>
              <a:blip xmlns:r="http://schemas.openxmlformats.org/officeDocument/2006/relationships" r:embed="rId1"/>
              <a:stretch>
                <a:fillRect/>
              </a:stretch>
            </a:blipFill>
            <a:ln w="12700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pattFill prst="pct70">
                <a:fgClr>
                  <a:sysClr val="windowText" lastClr="000000"/>
                </a:fgClr>
                <a:bgClr>
                  <a:srgbClr val="00B050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invertIfNegative val="0"/>
            <c:bubble3D val="0"/>
            <c:spPr>
              <a:pattFill prst="pct60">
                <a:fgClr>
                  <a:sysClr val="windowText" lastClr="000000"/>
                </a:fgClr>
                <a:bgClr>
                  <a:srgbClr val="00B050"/>
                </a:bgClr>
              </a:patt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1.1173175500713409E-2"/>
                  <c:y val="-0.10706989651771237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9.0329228980605553E-3"/>
                  <c:y val="-0.10866242038216561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Лист1!$B$3:$C$3</c:f>
              <c:numCache>
                <c:formatCode>0.0</c:formatCode>
                <c:ptCount val="2"/>
                <c:pt idx="0">
                  <c:v>90.4</c:v>
                </c:pt>
                <c:pt idx="1">
                  <c:v>87</c:v>
                </c:pt>
              </c:numCache>
            </c:numRef>
          </c:val>
        </c:ser>
        <c:ser>
          <c:idx val="3"/>
          <c:order val="1"/>
          <c:tx>
            <c:strRef>
              <c:f>Лист1!$A$4</c:f>
              <c:strCache>
                <c:ptCount val="1"/>
                <c:pt idx="0">
                  <c:v>будівництво</c:v>
                </c:pt>
              </c:strCache>
            </c:strRef>
          </c:tx>
          <c:spPr>
            <a:pattFill prst="narHorz">
              <a:fgClr>
                <a:srgbClr xmlns:mc="http://schemas.openxmlformats.org/markup-compatibility/2006" xmlns:a14="http://schemas.microsoft.com/office/drawing/2010/main" val="0000FF" mc:Ignorable="a14" a14:legacySpreadsheetColorIndex="12"/>
              </a:fgClr>
              <a:bgClr>
                <a:srgbClr xmlns:mc="http://schemas.openxmlformats.org/markup-compatibility/2006" xmlns:a14="http://schemas.microsoft.com/office/drawing/2010/main" val="FF00FF" mc:Ignorable="a14" a14:legacySpreadsheetColorIndex="14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7897091722595078E-2"/>
                  <c:y val="-9.315866084425042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4608501118568233E-2"/>
                  <c:y val="-9.898107714701601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aseline="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Лист1!$B$4:$C$4</c:f>
              <c:numCache>
                <c:formatCode>0.0</c:formatCode>
                <c:ptCount val="2"/>
                <c:pt idx="0">
                  <c:v>0.5</c:v>
                </c:pt>
                <c:pt idx="1">
                  <c:v>0.5</c:v>
                </c:pt>
              </c:numCache>
            </c:numRef>
          </c:val>
        </c:ser>
        <c:ser>
          <c:idx val="4"/>
          <c:order val="2"/>
          <c:tx>
            <c:strRef>
              <c:f>Лист1!$A$5</c:f>
              <c:strCache>
                <c:ptCount val="1"/>
                <c:pt idx="0">
                  <c:v>транспорт та зв'язок</c:v>
                </c:pt>
              </c:strCache>
            </c:strRef>
          </c:tx>
          <c:spPr>
            <a:solidFill>
              <a:srgbClr val="FF99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4.9061988056862127E-3"/>
                  <c:y val="-9.751575639032383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6070566682523388E-4"/>
                  <c:y val="-9.592356687898090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Лист1!$B$5:$C$5</c:f>
              <c:numCache>
                <c:formatCode>0.0</c:formatCode>
                <c:ptCount val="2"/>
                <c:pt idx="0">
                  <c:v>3.9</c:v>
                </c:pt>
                <c:pt idx="1">
                  <c:v>6.9</c:v>
                </c:pt>
              </c:numCache>
            </c:numRef>
          </c:val>
        </c:ser>
        <c:ser>
          <c:idx val="5"/>
          <c:order val="3"/>
          <c:tx>
            <c:strRef>
              <c:f>Лист1!$A$6</c:f>
              <c:strCache>
                <c:ptCount val="1"/>
                <c:pt idx="0">
                  <c:v>сільське господарство, мисливство та лісове господарство</c:v>
                </c:pt>
              </c:strCache>
            </c:strRef>
          </c:tx>
          <c:spPr>
            <a:pattFill prst="narHorz">
              <a:fgClr>
                <a:srgbClr xmlns:mc="http://schemas.openxmlformats.org/markup-compatibility/2006" xmlns:a14="http://schemas.microsoft.com/office/drawing/2010/main" val="FF8080" mc:Ignorable="a14" a14:legacySpreadsheetColorIndex="29"/>
              </a:fgClr>
              <a:bgClr>
                <a:srgbClr xmlns:mc="http://schemas.openxmlformats.org/markup-compatibility/2006" xmlns:a14="http://schemas.microsoft.com/office/drawing/2010/main" val="FFFFFF" mc:Ignorable="a14" a14:legacySpreadsheetColorIndex="9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6567316669308885E-2"/>
                  <c:y val="-9.7515756390323838E-2"/>
                </c:manualLayout>
              </c:layout>
              <c:spPr>
                <a:solidFill>
                  <a:srgbClr val="FFFFFF"/>
                </a:solidFill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7.759868942556758E-3"/>
                  <c:y val="-9.9108280254777081E-2"/>
                </c:manualLayout>
              </c:layout>
              <c:spPr>
                <a:solidFill>
                  <a:srgbClr val="FFFFFF"/>
                </a:solidFill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rgbClr val="00FF00"/>
              </a:solidFill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Лист1!$B$6:$C$6</c:f>
              <c:numCache>
                <c:formatCode>0.0</c:formatCode>
                <c:ptCount val="2"/>
                <c:pt idx="0">
                  <c:v>3</c:v>
                </c:pt>
                <c:pt idx="1">
                  <c:v>3.2</c:v>
                </c:pt>
              </c:numCache>
            </c:numRef>
          </c:val>
        </c:ser>
        <c:ser>
          <c:idx val="6"/>
          <c:order val="4"/>
          <c:tx>
            <c:strRef>
              <c:f>Лист1!$A$7</c:f>
              <c:strCache>
                <c:ptCount val="1"/>
                <c:pt idx="0">
                  <c:v>інші</c:v>
                </c:pt>
              </c:strCache>
            </c:strRef>
          </c:tx>
          <c:spPr>
            <a:pattFill prst="pct30">
              <a:fgClr>
                <a:srgbClr xmlns:mc="http://schemas.openxmlformats.org/markup-compatibility/2006" xmlns:a14="http://schemas.microsoft.com/office/drawing/2010/main" val="0000FF" mc:Ignorable="a14" a14:legacySpreadsheetColorIndex="12"/>
              </a:fgClr>
              <a:bgClr>
                <a:srgbClr xmlns:mc="http://schemas.openxmlformats.org/markup-compatibility/2006" xmlns:a14="http://schemas.microsoft.com/office/drawing/2010/main" val="3366FF" mc:Ignorable="a14" a14:legacySpreadsheetColorIndex="48"/>
              </a:bgClr>
            </a:patt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2.9927249026757585E-2"/>
                  <c:y val="-8.343781868030864E-3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1166657859042823E-2"/>
                  <c:y val="-1.630573248407646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Лист1!$B$2:$C$2</c:f>
              <c:numCache>
                <c:formatCode>General</c:formatCode>
                <c:ptCount val="2"/>
                <c:pt idx="0">
                  <c:v>2015</c:v>
                </c:pt>
                <c:pt idx="1">
                  <c:v>2016</c:v>
                </c:pt>
              </c:numCache>
            </c:numRef>
          </c:cat>
          <c:val>
            <c:numRef>
              <c:f>Лист1!$B$7:$C$7</c:f>
              <c:numCache>
                <c:formatCode>0.0</c:formatCode>
                <c:ptCount val="2"/>
                <c:pt idx="0">
                  <c:v>2.2000000000000002</c:v>
                </c:pt>
                <c:pt idx="1">
                  <c:v>2.4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85036272"/>
        <c:axId val="285039072"/>
      </c:barChart>
      <c:catAx>
        <c:axId val="28503627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285039072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285039072"/>
        <c:scaling>
          <c:orientation val="minMax"/>
          <c:max val="1"/>
          <c:min val="0"/>
        </c:scaling>
        <c:delete val="0"/>
        <c:axPos val="b"/>
        <c:numFmt formatCode="0%" sourceLinked="1"/>
        <c:majorTickMark val="out"/>
        <c:minorTickMark val="none"/>
        <c:tickLblPos val="none"/>
        <c:spPr>
          <a:ln w="6350">
            <a:noFill/>
          </a:ln>
        </c:spPr>
        <c:crossAx val="285036272"/>
        <c:crosses val="autoZero"/>
        <c:crossBetween val="between"/>
        <c:majorUnit val="0.1"/>
        <c:minorUnit val="0.02"/>
      </c:valAx>
      <c:spPr>
        <a:solidFill>
          <a:srgbClr val="FFFFFF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"/>
          <c:y val="0.67710834973753276"/>
          <c:w val="0.71644295302013428"/>
          <c:h val="0.29950623359580053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 anchor="ctr" anchorCtr="0"/>
        <a:lstStyle/>
        <a:p>
          <a:pPr>
            <a:defRPr sz="1000" b="0" i="0" u="none" strike="noStrike" baseline="0">
              <a:solidFill>
                <a:srgbClr val="000000"/>
              </a:solidFill>
              <a:latin typeface="Times New Roman" panose="02020603050405020304" pitchFamily="18" charset="0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ACF15-FC12-4310-A1EA-8492FED8B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4</Pages>
  <Words>4643</Words>
  <Characters>2648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Використання енергетичних матеріалів</vt:lpstr>
    </vt:vector>
  </TitlesOfParts>
  <Company/>
  <LinksUpToDate>false</LinksUpToDate>
  <CharactersWithSpaces>7277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Використання енергетичних матеріалів</dc:title>
  <dc:subject/>
  <dc:creator>User</dc:creator>
  <cp:keywords/>
  <dc:description/>
  <cp:lastModifiedBy>S.Bozhko</cp:lastModifiedBy>
  <cp:revision>22</cp:revision>
  <cp:lastPrinted>2017-06-15T07:38:00Z</cp:lastPrinted>
  <dcterms:created xsi:type="dcterms:W3CDTF">2017-06-12T07:14:00Z</dcterms:created>
  <dcterms:modified xsi:type="dcterms:W3CDTF">2017-06-15T07:42:00Z</dcterms:modified>
</cp:coreProperties>
</file>