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E56" w:rsidRPr="00F336DA" w:rsidRDefault="00411E56" w:rsidP="00411E56">
      <w:pPr>
        <w:suppressAutoHyphens/>
        <w:jc w:val="center"/>
        <w:rPr>
          <w:b/>
          <w:sz w:val="26"/>
          <w:szCs w:val="26"/>
        </w:rPr>
      </w:pPr>
      <w:r w:rsidRPr="00F336DA">
        <w:rPr>
          <w:b/>
          <w:sz w:val="26"/>
          <w:szCs w:val="26"/>
        </w:rPr>
        <w:t>Окремі методичні пояснення</w:t>
      </w:r>
    </w:p>
    <w:p w:rsidR="00411E56" w:rsidRPr="00F336DA" w:rsidRDefault="00411E56" w:rsidP="00411E56">
      <w:pPr>
        <w:suppressAutoHyphens/>
        <w:ind w:left="720" w:hanging="720"/>
        <w:jc w:val="both"/>
        <w:rPr>
          <w:b/>
          <w:sz w:val="26"/>
          <w:szCs w:val="26"/>
        </w:rPr>
      </w:pPr>
    </w:p>
    <w:p w:rsidR="00411E56" w:rsidRPr="00F336DA" w:rsidRDefault="00411E56" w:rsidP="00411E56">
      <w:pPr>
        <w:pStyle w:val="21"/>
        <w:widowControl/>
        <w:suppressAutoHyphens/>
        <w:rPr>
          <w:sz w:val="26"/>
          <w:szCs w:val="26"/>
          <w:lang w:val="ru-RU"/>
        </w:rPr>
      </w:pPr>
      <w:r w:rsidRPr="00F336DA">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w:t>
      </w:r>
      <w:proofErr w:type="spellStart"/>
      <w:r w:rsidRPr="00F336DA">
        <w:rPr>
          <w:sz w:val="26"/>
          <w:szCs w:val="26"/>
        </w:rPr>
        <w:t>COICOP</w:t>
      </w:r>
      <w:proofErr w:type="spellEnd"/>
      <w:r w:rsidRPr="00F336DA">
        <w:rPr>
          <w:sz w:val="26"/>
          <w:szCs w:val="26"/>
        </w:rPr>
        <w:t>–</w:t>
      </w:r>
      <w:proofErr w:type="spellStart"/>
      <w:r w:rsidRPr="00F336DA">
        <w:rPr>
          <w:sz w:val="26"/>
          <w:szCs w:val="26"/>
        </w:rPr>
        <w:t>HBS</w:t>
      </w:r>
      <w:proofErr w:type="spellEnd"/>
      <w:r w:rsidRPr="00F336DA">
        <w:rPr>
          <w:sz w:val="26"/>
          <w:szCs w:val="26"/>
        </w:rPr>
        <w:t xml:space="preserve"> (1997)), рекомендованої </w:t>
      </w:r>
      <w:proofErr w:type="spellStart"/>
      <w:r w:rsidRPr="00F336DA">
        <w:rPr>
          <w:sz w:val="26"/>
          <w:szCs w:val="26"/>
        </w:rPr>
        <w:t>Євростатом</w:t>
      </w:r>
      <w:proofErr w:type="spellEnd"/>
      <w:r w:rsidRPr="00F336DA">
        <w:rPr>
          <w:sz w:val="26"/>
          <w:szCs w:val="26"/>
          <w:vertAlign w:val="superscript"/>
        </w:rPr>
        <w:footnoteReference w:id="1"/>
      </w:r>
      <w:r w:rsidRPr="00F336DA">
        <w:rPr>
          <w:sz w:val="26"/>
          <w:szCs w:val="26"/>
          <w:vertAlign w:val="superscript"/>
        </w:rPr>
        <w:t>1</w:t>
      </w:r>
      <w:r w:rsidRPr="00F336DA">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ІСЦ (індексу споживчих цін). </w:t>
      </w:r>
    </w:p>
    <w:p w:rsidR="00411E56" w:rsidRDefault="00411E56" w:rsidP="00411E56">
      <w:pPr>
        <w:ind w:firstLine="540"/>
        <w:jc w:val="both"/>
        <w:rPr>
          <w:sz w:val="26"/>
          <w:szCs w:val="26"/>
        </w:rPr>
      </w:pPr>
      <w:r w:rsidRPr="00F336DA">
        <w:rPr>
          <w:sz w:val="26"/>
          <w:szCs w:val="26"/>
        </w:rPr>
        <w:t>Починаючи з даних за 2007р., відповідно до Класифікації індивідуального споживання за цілями</w:t>
      </w:r>
      <w:r w:rsidRPr="00411E56">
        <w:rPr>
          <w:sz w:val="26"/>
          <w:szCs w:val="26"/>
          <w:vertAlign w:val="superscript"/>
          <w:lang w:val="ru-RU"/>
        </w:rPr>
        <w:t>2</w:t>
      </w:r>
      <w:r w:rsidRPr="00F336DA">
        <w:rPr>
          <w:sz w:val="26"/>
          <w:szCs w:val="26"/>
        </w:rPr>
        <w:t xml:space="preserve">, затвердженої наказом Держкомстату України від </w:t>
      </w:r>
      <w:r w:rsidRPr="00F336DA">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411E56" w:rsidRPr="00A93194" w:rsidRDefault="00411E56" w:rsidP="00411E56">
      <w:pPr>
        <w:pStyle w:val="3"/>
        <w:rPr>
          <w:sz w:val="26"/>
          <w:szCs w:val="26"/>
        </w:rPr>
      </w:pPr>
      <w:r w:rsidRPr="00A93194">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A93194">
        <w:rPr>
          <w:sz w:val="26"/>
          <w:szCs w:val="26"/>
        </w:rPr>
        <w:t xml:space="preserve">,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411E56" w:rsidRPr="00A93194" w:rsidRDefault="00411E56" w:rsidP="00411E56">
      <w:pPr>
        <w:pStyle w:val="3"/>
        <w:rPr>
          <w:sz w:val="26"/>
          <w:szCs w:val="26"/>
        </w:rPr>
      </w:pPr>
      <w:r w:rsidRPr="00A93194">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411E56" w:rsidRPr="00F336DA" w:rsidRDefault="00411E56" w:rsidP="00411E56">
      <w:pPr>
        <w:ind w:firstLine="540"/>
        <w:jc w:val="both"/>
        <w:rPr>
          <w:sz w:val="26"/>
          <w:szCs w:val="26"/>
        </w:rPr>
      </w:pPr>
      <w:r w:rsidRPr="00F336DA">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336DA">
        <w:rPr>
          <w:sz w:val="26"/>
          <w:szCs w:val="26"/>
          <w:lang w:val="en-US"/>
        </w:rPr>
        <w:t>I</w:t>
      </w:r>
      <w:r w:rsidRPr="00F336DA">
        <w:rPr>
          <w:sz w:val="26"/>
          <w:szCs w:val="26"/>
        </w:rPr>
        <w:t xml:space="preserve"> публікації за результатами обстеження </w:t>
      </w:r>
      <w:r w:rsidRPr="00A31DE5">
        <w:rPr>
          <w:sz w:val="26"/>
          <w:szCs w:val="26"/>
        </w:rPr>
        <w:t>у 2016</w:t>
      </w:r>
      <w:r w:rsidRPr="00F336DA">
        <w:rPr>
          <w:sz w:val="26"/>
          <w:szCs w:val="26"/>
        </w:rPr>
        <w:t xml:space="preserve"> році в розділі методологічних пояснень.</w:t>
      </w:r>
    </w:p>
    <w:p w:rsidR="00411E56" w:rsidRPr="00F336DA" w:rsidRDefault="00411E56" w:rsidP="00411E56">
      <w:pPr>
        <w:suppressAutoHyphens/>
        <w:ind w:left="720" w:hanging="720"/>
        <w:jc w:val="both"/>
        <w:rPr>
          <w:b/>
          <w:sz w:val="26"/>
          <w:szCs w:val="26"/>
        </w:rPr>
      </w:pPr>
    </w:p>
    <w:p w:rsidR="00411E56" w:rsidRPr="00F336DA" w:rsidRDefault="00411E56" w:rsidP="00411E56">
      <w:pPr>
        <w:suppressAutoHyphens/>
        <w:ind w:left="720" w:hanging="720"/>
        <w:jc w:val="both"/>
        <w:rPr>
          <w:sz w:val="26"/>
          <w:szCs w:val="26"/>
        </w:rPr>
      </w:pPr>
      <w:r w:rsidRPr="00F336DA">
        <w:rPr>
          <w:b/>
          <w:sz w:val="26"/>
          <w:szCs w:val="26"/>
        </w:rPr>
        <w:t>Звертаємо увагу користувачів інформацією</w:t>
      </w:r>
      <w:r w:rsidRPr="00F336DA">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411E56" w:rsidRPr="00F336DA" w:rsidRDefault="00411E56" w:rsidP="00411E56">
      <w:pPr>
        <w:suppressAutoHyphens/>
        <w:ind w:left="907"/>
        <w:jc w:val="both"/>
        <w:rPr>
          <w:sz w:val="26"/>
          <w:szCs w:val="26"/>
        </w:rPr>
      </w:pPr>
      <w:r w:rsidRPr="00F336DA">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336DA">
        <w:rPr>
          <w:sz w:val="26"/>
          <w:szCs w:val="26"/>
          <w:lang w:val="ru-RU"/>
        </w:rPr>
        <w:t>;</w:t>
      </w:r>
    </w:p>
    <w:p w:rsidR="00411E56" w:rsidRPr="00F336DA" w:rsidRDefault="00411E56" w:rsidP="00411E56">
      <w:pPr>
        <w:suppressAutoHyphens/>
        <w:ind w:left="907"/>
        <w:jc w:val="both"/>
        <w:rPr>
          <w:sz w:val="26"/>
          <w:szCs w:val="26"/>
        </w:rPr>
      </w:pPr>
      <w:r w:rsidRPr="00F336DA">
        <w:rPr>
          <w:sz w:val="26"/>
          <w:szCs w:val="26"/>
        </w:rPr>
        <w:t>“середній</w:t>
      </w:r>
      <w:r>
        <w:rPr>
          <w:sz w:val="26"/>
          <w:szCs w:val="26"/>
        </w:rPr>
        <w:t xml:space="preserve"> еквівалентний</w:t>
      </w:r>
      <w:r w:rsidRPr="00F336DA">
        <w:rPr>
          <w:sz w:val="26"/>
          <w:szCs w:val="26"/>
        </w:rPr>
        <w:t xml:space="preserve"> розмір домогосподарства (осіб)” – висвітлюють кількісний склад усередненого домогосподарства відповідної групи.</w:t>
      </w:r>
    </w:p>
    <w:p w:rsidR="00411E56" w:rsidRPr="00A467FD" w:rsidRDefault="00411E56" w:rsidP="00411E56">
      <w:pPr>
        <w:suppressAutoHyphens/>
        <w:ind w:left="680"/>
        <w:jc w:val="both"/>
        <w:rPr>
          <w:b/>
          <w:sz w:val="26"/>
          <w:szCs w:val="26"/>
          <w:u w:val="single"/>
          <w:lang w:val="ru-RU"/>
        </w:rPr>
      </w:pPr>
      <w:r w:rsidRPr="00F336DA">
        <w:rPr>
          <w:b/>
          <w:sz w:val="26"/>
          <w:szCs w:val="26"/>
        </w:rPr>
        <w:lastRenderedPageBreak/>
        <w:t xml:space="preserve">Останній показник дає можливість отримання даних </w:t>
      </w:r>
      <w:r w:rsidRPr="00F336DA">
        <w:rPr>
          <w:b/>
          <w:sz w:val="26"/>
          <w:szCs w:val="26"/>
          <w:u w:val="single"/>
        </w:rPr>
        <w:t>у</w:t>
      </w:r>
      <w:r>
        <w:rPr>
          <w:b/>
          <w:sz w:val="26"/>
          <w:szCs w:val="26"/>
          <w:u w:val="single"/>
        </w:rPr>
        <w:t xml:space="preserve"> розрахунку на одну</w:t>
      </w:r>
      <w:r w:rsidRPr="00F336DA">
        <w:rPr>
          <w:b/>
          <w:sz w:val="26"/>
          <w:szCs w:val="26"/>
          <w:u w:val="single"/>
        </w:rPr>
        <w:t xml:space="preserve"> </w:t>
      </w:r>
      <w:r>
        <w:rPr>
          <w:b/>
          <w:sz w:val="26"/>
          <w:szCs w:val="26"/>
          <w:u w:val="single"/>
        </w:rPr>
        <w:t>умовну</w:t>
      </w:r>
      <w:r w:rsidRPr="00F336DA">
        <w:rPr>
          <w:b/>
          <w:sz w:val="26"/>
          <w:szCs w:val="26"/>
          <w:u w:val="single"/>
        </w:rPr>
        <w:t xml:space="preserve"> </w:t>
      </w:r>
      <w:r>
        <w:rPr>
          <w:b/>
          <w:sz w:val="26"/>
          <w:szCs w:val="26"/>
          <w:u w:val="single"/>
        </w:rPr>
        <w:t>особу</w:t>
      </w:r>
      <w:r w:rsidRPr="00F336DA">
        <w:rPr>
          <w:b/>
          <w:sz w:val="26"/>
          <w:szCs w:val="26"/>
          <w:u w:val="single"/>
        </w:rPr>
        <w:t>.</w:t>
      </w:r>
      <w:r w:rsidRPr="00A467FD">
        <w:rPr>
          <w:sz w:val="26"/>
          <w:szCs w:val="26"/>
        </w:rPr>
        <w:t xml:space="preserve"> При розрахунку </w:t>
      </w:r>
      <w:r>
        <w:rPr>
          <w:sz w:val="26"/>
          <w:szCs w:val="26"/>
        </w:rPr>
        <w:t>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411E56" w:rsidRPr="00F336DA" w:rsidRDefault="00411E56" w:rsidP="00411E56">
      <w:pPr>
        <w:suppressAutoHyphens/>
        <w:ind w:firstLine="709"/>
        <w:jc w:val="both"/>
        <w:rPr>
          <w:sz w:val="26"/>
          <w:szCs w:val="26"/>
        </w:rPr>
      </w:pPr>
      <w:r w:rsidRPr="00F336DA">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w:t>
      </w:r>
      <w:r w:rsidRPr="00A31DE5">
        <w:rPr>
          <w:sz w:val="26"/>
          <w:szCs w:val="26"/>
        </w:rPr>
        <w:t>2016</w:t>
      </w:r>
      <w:r>
        <w:rPr>
          <w:sz w:val="26"/>
          <w:szCs w:val="26"/>
        </w:rPr>
        <w:t xml:space="preserve"> </w:t>
      </w:r>
      <w:r w:rsidRPr="00F336DA">
        <w:rPr>
          <w:sz w:val="26"/>
          <w:szCs w:val="26"/>
        </w:rPr>
        <w:t xml:space="preserve">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411E56" w:rsidRPr="00F336DA" w:rsidRDefault="00411E56" w:rsidP="00411E56">
      <w:pPr>
        <w:pStyle w:val="3"/>
        <w:rPr>
          <w:sz w:val="26"/>
          <w:szCs w:val="26"/>
          <w:highlight w:val="cyan"/>
        </w:rPr>
      </w:pPr>
      <w:r w:rsidRPr="00F336DA">
        <w:rPr>
          <w:sz w:val="26"/>
          <w:szCs w:val="26"/>
        </w:rPr>
        <w:t xml:space="preserve">За даними </w:t>
      </w:r>
      <w:r w:rsidRPr="00A31DE5">
        <w:rPr>
          <w:sz w:val="26"/>
          <w:szCs w:val="26"/>
        </w:rPr>
        <w:t>2016</w:t>
      </w:r>
      <w:r w:rsidRPr="00F336DA">
        <w:rPr>
          <w:sz w:val="26"/>
          <w:szCs w:val="26"/>
        </w:rPr>
        <w:t xml:space="preserve"> року для </w:t>
      </w:r>
      <w:r>
        <w:rPr>
          <w:sz w:val="26"/>
          <w:szCs w:val="26"/>
        </w:rPr>
        <w:t>Вінницької</w:t>
      </w:r>
      <w:r w:rsidRPr="00F336DA">
        <w:rPr>
          <w:sz w:val="26"/>
          <w:szCs w:val="26"/>
        </w:rPr>
        <w:t xml:space="preserve"> області були розраховані відносні стандартні похибки вибірки RSE (коефіцієнти варіації) для оцінок таких показників: </w:t>
      </w:r>
    </w:p>
    <w:p w:rsidR="00411E56" w:rsidRPr="00F336DA" w:rsidRDefault="00411E56" w:rsidP="00411E56">
      <w:pPr>
        <w:pStyle w:val="3"/>
        <w:rPr>
          <w:sz w:val="26"/>
          <w:szCs w:val="26"/>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411E56" w:rsidRPr="00C52B48" w:rsidTr="000257A9">
        <w:tc>
          <w:tcPr>
            <w:tcW w:w="6912" w:type="dxa"/>
            <w:shd w:val="clear" w:color="auto" w:fill="auto"/>
            <w:vAlign w:val="center"/>
          </w:tcPr>
          <w:p w:rsidR="00411E56" w:rsidRPr="00A31DE5" w:rsidRDefault="00411E56" w:rsidP="000257A9">
            <w:pPr>
              <w:pStyle w:val="3"/>
              <w:ind w:firstLine="0"/>
              <w:jc w:val="center"/>
              <w:rPr>
                <w:sz w:val="26"/>
                <w:szCs w:val="26"/>
              </w:rPr>
            </w:pPr>
            <w:r w:rsidRPr="00A31DE5">
              <w:rPr>
                <w:sz w:val="26"/>
                <w:szCs w:val="26"/>
              </w:rPr>
              <w:t>Показник</w:t>
            </w:r>
          </w:p>
        </w:tc>
        <w:tc>
          <w:tcPr>
            <w:tcW w:w="2978" w:type="dxa"/>
            <w:shd w:val="clear" w:color="auto" w:fill="auto"/>
          </w:tcPr>
          <w:p w:rsidR="00411E56" w:rsidRPr="00A31DE5" w:rsidRDefault="00411E56" w:rsidP="000257A9">
            <w:pPr>
              <w:pStyle w:val="3"/>
              <w:ind w:firstLine="0"/>
              <w:jc w:val="center"/>
              <w:rPr>
                <w:sz w:val="26"/>
                <w:szCs w:val="26"/>
              </w:rPr>
            </w:pPr>
            <w:r w:rsidRPr="00A31DE5">
              <w:rPr>
                <w:sz w:val="26"/>
                <w:szCs w:val="26"/>
              </w:rPr>
              <w:t>Відносна стандартна похибка вибірки</w:t>
            </w:r>
          </w:p>
          <w:p w:rsidR="00411E56" w:rsidRPr="00A31DE5" w:rsidRDefault="00411E56" w:rsidP="000257A9">
            <w:pPr>
              <w:pStyle w:val="3"/>
              <w:ind w:firstLine="0"/>
              <w:jc w:val="center"/>
              <w:rPr>
                <w:sz w:val="26"/>
                <w:szCs w:val="26"/>
              </w:rPr>
            </w:pPr>
            <w:r w:rsidRPr="00A31DE5">
              <w:rPr>
                <w:sz w:val="26"/>
                <w:szCs w:val="26"/>
              </w:rPr>
              <w:t>RSE, %</w:t>
            </w:r>
          </w:p>
        </w:tc>
      </w:tr>
      <w:tr w:rsidR="00411E56" w:rsidRPr="00C52B48" w:rsidTr="000257A9">
        <w:tc>
          <w:tcPr>
            <w:tcW w:w="6912" w:type="dxa"/>
            <w:shd w:val="clear" w:color="auto" w:fill="auto"/>
          </w:tcPr>
          <w:p w:rsidR="00411E56" w:rsidRPr="00A31DE5" w:rsidRDefault="00411E56" w:rsidP="000257A9">
            <w:pPr>
              <w:pStyle w:val="3"/>
              <w:ind w:firstLine="0"/>
              <w:rPr>
                <w:sz w:val="26"/>
                <w:szCs w:val="26"/>
              </w:rPr>
            </w:pPr>
            <w:proofErr w:type="spellStart"/>
            <w:r w:rsidRPr="00A31DE5">
              <w:rPr>
                <w:sz w:val="26"/>
                <w:szCs w:val="26"/>
              </w:rPr>
              <w:t>децильний</w:t>
            </w:r>
            <w:proofErr w:type="spellEnd"/>
            <w:r w:rsidRPr="00A31DE5">
              <w:rPr>
                <w:sz w:val="26"/>
                <w:szCs w:val="26"/>
              </w:rPr>
              <w:t xml:space="preserve"> коефіцієнт диференціації загальних доходів населення</w:t>
            </w:r>
          </w:p>
        </w:tc>
        <w:tc>
          <w:tcPr>
            <w:tcW w:w="2978" w:type="dxa"/>
            <w:shd w:val="clear" w:color="auto" w:fill="auto"/>
          </w:tcPr>
          <w:p w:rsidR="00411E56" w:rsidRPr="00A31DE5" w:rsidRDefault="00411E56" w:rsidP="000257A9">
            <w:pPr>
              <w:pStyle w:val="3"/>
              <w:ind w:firstLine="0"/>
              <w:jc w:val="center"/>
              <w:rPr>
                <w:sz w:val="26"/>
                <w:szCs w:val="26"/>
              </w:rPr>
            </w:pPr>
            <w:r w:rsidRPr="00A31DE5">
              <w:rPr>
                <w:sz w:val="26"/>
                <w:szCs w:val="26"/>
              </w:rPr>
              <w:t>4,59</w:t>
            </w:r>
          </w:p>
        </w:tc>
      </w:tr>
      <w:tr w:rsidR="00411E56" w:rsidRPr="00C52B48" w:rsidTr="000257A9">
        <w:tc>
          <w:tcPr>
            <w:tcW w:w="6912" w:type="dxa"/>
            <w:shd w:val="clear" w:color="auto" w:fill="auto"/>
          </w:tcPr>
          <w:p w:rsidR="00411E56" w:rsidRPr="00A31DE5" w:rsidRDefault="00411E56" w:rsidP="000257A9">
            <w:pPr>
              <w:pStyle w:val="3"/>
              <w:ind w:firstLine="0"/>
              <w:rPr>
                <w:sz w:val="26"/>
                <w:szCs w:val="26"/>
              </w:rPr>
            </w:pPr>
            <w:r w:rsidRPr="00A31DE5">
              <w:rPr>
                <w:sz w:val="26"/>
                <w:szCs w:val="26"/>
              </w:rPr>
              <w:t>індекс Джині</w:t>
            </w:r>
          </w:p>
        </w:tc>
        <w:tc>
          <w:tcPr>
            <w:tcW w:w="2978" w:type="dxa"/>
            <w:shd w:val="clear" w:color="auto" w:fill="auto"/>
          </w:tcPr>
          <w:p w:rsidR="00411E56" w:rsidRPr="00A31DE5" w:rsidRDefault="00411E56" w:rsidP="000257A9">
            <w:pPr>
              <w:pStyle w:val="3"/>
              <w:ind w:firstLine="0"/>
              <w:jc w:val="center"/>
              <w:rPr>
                <w:sz w:val="26"/>
                <w:szCs w:val="26"/>
              </w:rPr>
            </w:pPr>
            <w:r w:rsidRPr="00A31DE5">
              <w:rPr>
                <w:sz w:val="26"/>
                <w:szCs w:val="26"/>
              </w:rPr>
              <w:t>5,72</w:t>
            </w:r>
          </w:p>
        </w:tc>
      </w:tr>
      <w:tr w:rsidR="00411E56" w:rsidRPr="00C52B48" w:rsidTr="000257A9">
        <w:tc>
          <w:tcPr>
            <w:tcW w:w="6912" w:type="dxa"/>
            <w:shd w:val="clear" w:color="auto" w:fill="auto"/>
          </w:tcPr>
          <w:p w:rsidR="00411E56" w:rsidRPr="00A31DE5" w:rsidRDefault="00411E56" w:rsidP="000257A9">
            <w:pPr>
              <w:pStyle w:val="3"/>
              <w:ind w:firstLine="0"/>
              <w:rPr>
                <w:sz w:val="26"/>
                <w:szCs w:val="26"/>
              </w:rPr>
            </w:pPr>
            <w:proofErr w:type="spellStart"/>
            <w:r w:rsidRPr="00A31DE5">
              <w:rPr>
                <w:sz w:val="26"/>
                <w:szCs w:val="26"/>
              </w:rPr>
              <w:t>децильний</w:t>
            </w:r>
            <w:proofErr w:type="spellEnd"/>
            <w:r w:rsidRPr="00A31DE5">
              <w:rPr>
                <w:sz w:val="26"/>
                <w:szCs w:val="26"/>
              </w:rPr>
              <w:t xml:space="preserve"> коефіцієнт фондів</w:t>
            </w:r>
          </w:p>
        </w:tc>
        <w:tc>
          <w:tcPr>
            <w:tcW w:w="2978" w:type="dxa"/>
            <w:shd w:val="clear" w:color="auto" w:fill="auto"/>
          </w:tcPr>
          <w:p w:rsidR="00411E56" w:rsidRPr="00A31DE5" w:rsidRDefault="00411E56" w:rsidP="000257A9">
            <w:pPr>
              <w:pStyle w:val="3"/>
              <w:ind w:firstLine="0"/>
              <w:jc w:val="center"/>
              <w:rPr>
                <w:sz w:val="26"/>
                <w:szCs w:val="26"/>
              </w:rPr>
            </w:pPr>
            <w:r w:rsidRPr="00A31DE5">
              <w:rPr>
                <w:sz w:val="26"/>
                <w:szCs w:val="26"/>
              </w:rPr>
              <w:t>38,80</w:t>
            </w:r>
          </w:p>
        </w:tc>
      </w:tr>
    </w:tbl>
    <w:p w:rsidR="00411E56" w:rsidRPr="00F336DA" w:rsidRDefault="00411E56" w:rsidP="00411E56">
      <w:pPr>
        <w:pStyle w:val="3"/>
        <w:rPr>
          <w:sz w:val="26"/>
          <w:szCs w:val="26"/>
          <w:highlight w:val="cyan"/>
        </w:rPr>
      </w:pPr>
    </w:p>
    <w:p w:rsidR="00411E56" w:rsidRPr="00F336DA" w:rsidRDefault="00411E56" w:rsidP="00411E56">
      <w:pPr>
        <w:pStyle w:val="3"/>
        <w:rPr>
          <w:sz w:val="26"/>
          <w:szCs w:val="26"/>
        </w:rPr>
      </w:pPr>
      <w:r w:rsidRPr="00F336DA">
        <w:rPr>
          <w:sz w:val="26"/>
          <w:szCs w:val="26"/>
        </w:rPr>
        <w:t xml:space="preserve">Як свідчать наведені дані, найбільш надійним є показник </w:t>
      </w:r>
      <w:r w:rsidRPr="00A31DE5">
        <w:rPr>
          <w:sz w:val="26"/>
          <w:szCs w:val="26"/>
        </w:rPr>
        <w:t>"</w:t>
      </w:r>
      <w:proofErr w:type="spellStart"/>
      <w:r w:rsidRPr="00A31DE5">
        <w:rPr>
          <w:sz w:val="26"/>
          <w:szCs w:val="26"/>
        </w:rPr>
        <w:t>Децильний</w:t>
      </w:r>
      <w:proofErr w:type="spellEnd"/>
      <w:r w:rsidRPr="00A31DE5">
        <w:rPr>
          <w:sz w:val="26"/>
          <w:szCs w:val="26"/>
        </w:rPr>
        <w:t xml:space="preserve"> коефіцієнт диференціації загальних доходів населення".</w:t>
      </w:r>
    </w:p>
    <w:p w:rsidR="00411E56" w:rsidRPr="00F336DA" w:rsidRDefault="00411E56" w:rsidP="00411E56">
      <w:pPr>
        <w:suppressAutoHyphens/>
        <w:ind w:firstLine="709"/>
        <w:jc w:val="both"/>
        <w:rPr>
          <w:sz w:val="26"/>
          <w:szCs w:val="26"/>
        </w:rPr>
      </w:pPr>
      <w:r w:rsidRPr="00F336DA">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411E56" w:rsidRPr="00F336DA" w:rsidRDefault="00411E56" w:rsidP="00411E56">
      <w:pPr>
        <w:numPr>
          <w:ilvl w:val="0"/>
          <w:numId w:val="3"/>
        </w:numPr>
        <w:suppressAutoHyphens/>
        <w:jc w:val="both"/>
        <w:rPr>
          <w:sz w:val="26"/>
          <w:szCs w:val="26"/>
        </w:rPr>
      </w:pPr>
      <w:r w:rsidRPr="00F336DA">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НАН України для використання в програмі “Україна–2010”). Результати розрахунків, які наведені в частині І публікації за </w:t>
      </w:r>
      <w:r w:rsidRPr="00A31DE5">
        <w:rPr>
          <w:sz w:val="26"/>
          <w:szCs w:val="26"/>
        </w:rPr>
        <w:t>2016</w:t>
      </w:r>
      <w:r w:rsidRPr="00F336DA">
        <w:rPr>
          <w:sz w:val="26"/>
          <w:szCs w:val="26"/>
        </w:rPr>
        <w:t xml:space="preserve">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регіонів;</w:t>
      </w:r>
    </w:p>
    <w:p w:rsidR="00411E56" w:rsidRPr="00F336DA" w:rsidRDefault="00411E56" w:rsidP="00411E56">
      <w:pPr>
        <w:numPr>
          <w:ilvl w:val="0"/>
          <w:numId w:val="4"/>
        </w:numPr>
        <w:suppressAutoHyphens/>
        <w:jc w:val="both"/>
        <w:rPr>
          <w:sz w:val="26"/>
          <w:szCs w:val="26"/>
        </w:rPr>
      </w:pPr>
      <w:r w:rsidRPr="00F336DA">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336DA">
        <w:rPr>
          <w:sz w:val="26"/>
          <w:szCs w:val="26"/>
          <w:u w:val="single"/>
        </w:rPr>
        <w:t>таблиці даної публікації містять рядок: “Довідково: кількість обстежених домогосподарств”.</w:t>
      </w:r>
      <w:r w:rsidRPr="00F336DA">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411E56" w:rsidRPr="00F336DA" w:rsidRDefault="00411E56" w:rsidP="00411E56">
      <w:pPr>
        <w:suppressAutoHyphens/>
        <w:ind w:firstLine="720"/>
        <w:jc w:val="both"/>
        <w:rPr>
          <w:sz w:val="26"/>
          <w:szCs w:val="26"/>
        </w:rPr>
      </w:pPr>
      <w:r w:rsidRPr="00F336DA">
        <w:rPr>
          <w:sz w:val="26"/>
          <w:szCs w:val="26"/>
          <w:u w:val="single"/>
        </w:rPr>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336DA">
        <w:rPr>
          <w:sz w:val="26"/>
          <w:szCs w:val="26"/>
        </w:rPr>
        <w:t xml:space="preserve"> </w:t>
      </w:r>
      <w:r w:rsidRPr="00F336DA">
        <w:rPr>
          <w:sz w:val="26"/>
          <w:szCs w:val="26"/>
          <w:u w:val="single"/>
        </w:rPr>
        <w:t>економічному району</w:t>
      </w:r>
      <w:r w:rsidRPr="00F336DA">
        <w:rPr>
          <w:sz w:val="26"/>
          <w:szCs w:val="26"/>
        </w:rPr>
        <w:t xml:space="preserve">. </w:t>
      </w:r>
      <w:r w:rsidRPr="00170DC8">
        <w:rPr>
          <w:sz w:val="26"/>
          <w:szCs w:val="26"/>
        </w:rPr>
        <w:lastRenderedPageBreak/>
        <w:t xml:space="preserve">Наприклад, в таблиці ІІ.16 по </w:t>
      </w:r>
      <w:r>
        <w:rPr>
          <w:sz w:val="26"/>
          <w:szCs w:val="26"/>
        </w:rPr>
        <w:t>Вінницькій</w:t>
      </w:r>
      <w:r w:rsidRPr="00170DC8">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групі </w:t>
      </w:r>
      <w:r w:rsidRPr="00A31DE5">
        <w:rPr>
          <w:sz w:val="26"/>
          <w:szCs w:val="26"/>
        </w:rPr>
        <w:t>від 480,1 до 840,0 грн</w:t>
      </w:r>
      <w:r>
        <w:rPr>
          <w:sz w:val="26"/>
          <w:szCs w:val="26"/>
        </w:rPr>
        <w:t xml:space="preserve"> </w:t>
      </w:r>
      <w:r w:rsidRPr="00170DC8">
        <w:rPr>
          <w:sz w:val="26"/>
          <w:szCs w:val="26"/>
        </w:rPr>
        <w:t xml:space="preserve"> було обстежено лише </w:t>
      </w:r>
      <w:r w:rsidRPr="00A31DE5">
        <w:rPr>
          <w:sz w:val="26"/>
          <w:szCs w:val="26"/>
        </w:rPr>
        <w:t>3</w:t>
      </w:r>
      <w:r w:rsidRPr="00170DC8">
        <w:rPr>
          <w:sz w:val="26"/>
          <w:szCs w:val="26"/>
        </w:rPr>
        <w:t xml:space="preserve"> домогосподарств</w:t>
      </w:r>
      <w:r>
        <w:rPr>
          <w:sz w:val="26"/>
          <w:szCs w:val="26"/>
        </w:rPr>
        <w:t>а</w:t>
      </w:r>
      <w:r w:rsidRPr="00170DC8">
        <w:rPr>
          <w:sz w:val="26"/>
          <w:szCs w:val="26"/>
        </w:rPr>
        <w:t>.</w:t>
      </w:r>
      <w:r w:rsidRPr="00F336DA">
        <w:rPr>
          <w:sz w:val="26"/>
          <w:szCs w:val="26"/>
        </w:rPr>
        <w:t xml:space="preserve"> У цьому випадку рекомендуємо користуватися </w:t>
      </w:r>
      <w:r>
        <w:rPr>
          <w:sz w:val="26"/>
          <w:szCs w:val="26"/>
        </w:rPr>
        <w:t>інформацією щодо</w:t>
      </w:r>
      <w:r w:rsidRPr="00F336DA">
        <w:rPr>
          <w:sz w:val="26"/>
          <w:szCs w:val="26"/>
        </w:rPr>
        <w:t xml:space="preserve"> грошових витрат домогосподарств цієї ж групи інтервального розподілу, розрахованою для </w:t>
      </w:r>
      <w:r w:rsidR="00E2183A" w:rsidRPr="00E2183A">
        <w:rPr>
          <w:sz w:val="26"/>
          <w:szCs w:val="26"/>
        </w:rPr>
        <w:t>Подільського</w:t>
      </w:r>
      <w:r w:rsidRPr="00E2183A">
        <w:rPr>
          <w:sz w:val="26"/>
          <w:szCs w:val="26"/>
        </w:rPr>
        <w:t xml:space="preserve"> економічного району (частина ІІІ річної публікації).</w:t>
      </w:r>
    </w:p>
    <w:p w:rsidR="00411E56" w:rsidRDefault="00411E56" w:rsidP="00411E56">
      <w:pPr>
        <w:pStyle w:val="3"/>
        <w:suppressAutoHyphens/>
        <w:rPr>
          <w:b/>
          <w:sz w:val="26"/>
          <w:szCs w:val="26"/>
        </w:rPr>
      </w:pPr>
    </w:p>
    <w:p w:rsidR="00411E56" w:rsidRPr="00F336DA" w:rsidRDefault="00411E56" w:rsidP="00411E56">
      <w:pPr>
        <w:pStyle w:val="3"/>
        <w:suppressAutoHyphens/>
        <w:rPr>
          <w:b/>
          <w:sz w:val="26"/>
          <w:szCs w:val="26"/>
        </w:rPr>
      </w:pPr>
      <w:bookmarkStart w:id="0" w:name="_GoBack"/>
      <w:bookmarkEnd w:id="0"/>
    </w:p>
    <w:p w:rsidR="00411E56" w:rsidRPr="00F336DA" w:rsidRDefault="00411E56" w:rsidP="00411E56">
      <w:pPr>
        <w:pStyle w:val="3"/>
        <w:suppressAutoHyphens/>
        <w:rPr>
          <w:b/>
          <w:sz w:val="26"/>
          <w:szCs w:val="26"/>
          <w:lang w:val="ru-RU"/>
        </w:rPr>
      </w:pPr>
      <w:r w:rsidRPr="00F336DA">
        <w:rPr>
          <w:b/>
          <w:sz w:val="26"/>
          <w:szCs w:val="26"/>
        </w:rPr>
        <w:t>Склад 8 економічних районів України в розрізі регіонів</w:t>
      </w:r>
      <w:r w:rsidRPr="00F336DA">
        <w:rPr>
          <w:b/>
          <w:sz w:val="26"/>
          <w:szCs w:val="26"/>
          <w:lang w:val="ru-RU"/>
        </w:rPr>
        <w:t>:</w:t>
      </w:r>
    </w:p>
    <w:p w:rsidR="00411E56" w:rsidRPr="00F336DA" w:rsidRDefault="00411E56" w:rsidP="00411E56">
      <w:pPr>
        <w:pStyle w:val="3"/>
        <w:suppressAutoHyphens/>
        <w:rPr>
          <w:b/>
          <w:sz w:val="26"/>
          <w:szCs w:val="26"/>
          <w:lang w:val="ru-RU"/>
        </w:rPr>
      </w:pPr>
    </w:p>
    <w:p w:rsidR="00411E56" w:rsidRPr="00F336DA" w:rsidRDefault="00411E56" w:rsidP="00411E56">
      <w:pPr>
        <w:pStyle w:val="3"/>
        <w:numPr>
          <w:ilvl w:val="0"/>
          <w:numId w:val="1"/>
        </w:numPr>
        <w:suppressAutoHyphens/>
        <w:ind w:left="1701" w:hanging="567"/>
        <w:rPr>
          <w:sz w:val="26"/>
          <w:szCs w:val="26"/>
          <w:lang w:val="en-US"/>
        </w:rPr>
      </w:pPr>
      <w:r w:rsidRPr="00F336DA">
        <w:rPr>
          <w:sz w:val="26"/>
          <w:szCs w:val="26"/>
        </w:rPr>
        <w:t xml:space="preserve"> Східний економічний район</w:t>
      </w:r>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Полтавська область</w:t>
      </w:r>
    </w:p>
    <w:p w:rsidR="00411E56" w:rsidRPr="00F336DA" w:rsidRDefault="00411E56" w:rsidP="00411E56">
      <w:pPr>
        <w:pStyle w:val="3"/>
        <w:suppressAutoHyphens/>
        <w:ind w:left="2268" w:firstLine="0"/>
        <w:rPr>
          <w:sz w:val="26"/>
          <w:szCs w:val="26"/>
          <w:lang w:val="en-US"/>
        </w:rPr>
      </w:pPr>
      <w:r w:rsidRPr="00F336DA">
        <w:rPr>
          <w:sz w:val="26"/>
          <w:szCs w:val="26"/>
        </w:rPr>
        <w:t>Сумська область</w:t>
      </w:r>
    </w:p>
    <w:p w:rsidR="00411E56" w:rsidRPr="00F336DA" w:rsidRDefault="00411E56" w:rsidP="00411E56">
      <w:pPr>
        <w:pStyle w:val="3"/>
        <w:suppressAutoHyphens/>
        <w:ind w:left="2268" w:firstLine="0"/>
        <w:rPr>
          <w:sz w:val="26"/>
          <w:szCs w:val="26"/>
        </w:rPr>
      </w:pPr>
      <w:r w:rsidRPr="00F336DA">
        <w:rPr>
          <w:sz w:val="26"/>
          <w:szCs w:val="26"/>
        </w:rPr>
        <w:t>Харківська область</w:t>
      </w:r>
    </w:p>
    <w:p w:rsidR="00411E56" w:rsidRPr="00F336DA" w:rsidRDefault="00411E56" w:rsidP="00411E56">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Донецький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Донецька область</w:t>
      </w:r>
    </w:p>
    <w:p w:rsidR="00411E56" w:rsidRPr="00F336DA" w:rsidRDefault="00411E56" w:rsidP="00411E56">
      <w:pPr>
        <w:pStyle w:val="3"/>
        <w:suppressAutoHyphens/>
        <w:ind w:left="2268" w:firstLine="0"/>
        <w:rPr>
          <w:sz w:val="26"/>
          <w:szCs w:val="26"/>
        </w:rPr>
      </w:pPr>
      <w:r w:rsidRPr="00F336DA">
        <w:rPr>
          <w:sz w:val="26"/>
          <w:szCs w:val="26"/>
        </w:rPr>
        <w:t>Луганська область</w:t>
      </w:r>
    </w:p>
    <w:p w:rsidR="00411E56" w:rsidRPr="00F336DA" w:rsidRDefault="00411E56" w:rsidP="00411E56">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Придніпровський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Дніпропетровська область</w:t>
      </w:r>
    </w:p>
    <w:p w:rsidR="00411E56" w:rsidRPr="00F336DA" w:rsidRDefault="00411E56" w:rsidP="00411E56">
      <w:pPr>
        <w:pStyle w:val="3"/>
        <w:suppressAutoHyphens/>
        <w:ind w:left="2268" w:firstLine="0"/>
        <w:rPr>
          <w:sz w:val="26"/>
          <w:szCs w:val="26"/>
          <w:lang w:val="en-US"/>
        </w:rPr>
      </w:pPr>
      <w:r w:rsidRPr="00F336DA">
        <w:rPr>
          <w:sz w:val="26"/>
          <w:szCs w:val="26"/>
        </w:rPr>
        <w:t>Запорізька область</w:t>
      </w:r>
    </w:p>
    <w:p w:rsidR="00411E56" w:rsidRPr="00F336DA" w:rsidRDefault="00411E56" w:rsidP="00411E56">
      <w:pPr>
        <w:pStyle w:val="3"/>
        <w:suppressAutoHyphens/>
        <w:ind w:left="2268" w:firstLine="0"/>
        <w:rPr>
          <w:sz w:val="26"/>
          <w:szCs w:val="26"/>
        </w:rPr>
      </w:pPr>
      <w:r w:rsidRPr="00F336DA">
        <w:rPr>
          <w:sz w:val="26"/>
          <w:szCs w:val="26"/>
        </w:rPr>
        <w:t>Кіровоградська область</w:t>
      </w:r>
    </w:p>
    <w:p w:rsidR="00411E56" w:rsidRPr="00F336DA" w:rsidRDefault="00411E56" w:rsidP="00411E56">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Причорноморський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Одеська область</w:t>
      </w:r>
    </w:p>
    <w:p w:rsidR="00411E56" w:rsidRPr="00F336DA" w:rsidRDefault="00411E56" w:rsidP="00411E56">
      <w:pPr>
        <w:pStyle w:val="3"/>
        <w:suppressAutoHyphens/>
        <w:ind w:left="2268" w:firstLine="0"/>
        <w:rPr>
          <w:sz w:val="26"/>
          <w:szCs w:val="26"/>
          <w:lang w:val="en-US"/>
        </w:rPr>
      </w:pPr>
      <w:r w:rsidRPr="00F336DA">
        <w:rPr>
          <w:sz w:val="26"/>
          <w:szCs w:val="26"/>
        </w:rPr>
        <w:t>Миколаївська область</w:t>
      </w:r>
    </w:p>
    <w:p w:rsidR="00411E56" w:rsidRPr="00F336DA" w:rsidRDefault="00411E56" w:rsidP="00411E56">
      <w:pPr>
        <w:pStyle w:val="3"/>
        <w:suppressAutoHyphens/>
        <w:ind w:left="2268" w:firstLine="0"/>
        <w:rPr>
          <w:sz w:val="26"/>
          <w:szCs w:val="26"/>
        </w:rPr>
      </w:pPr>
      <w:r w:rsidRPr="00F336DA">
        <w:rPr>
          <w:sz w:val="26"/>
          <w:szCs w:val="26"/>
        </w:rPr>
        <w:t>Херсонська область</w:t>
      </w:r>
    </w:p>
    <w:p w:rsidR="00411E56" w:rsidRPr="00F336DA" w:rsidRDefault="00411E56" w:rsidP="00411E56">
      <w:pPr>
        <w:pStyle w:val="3"/>
        <w:numPr>
          <w:ilvl w:val="0"/>
          <w:numId w:val="2"/>
        </w:numPr>
        <w:suppressAutoHyphens/>
        <w:ind w:left="1701" w:hanging="567"/>
        <w:rPr>
          <w:sz w:val="26"/>
          <w:szCs w:val="26"/>
          <w:lang w:val="en-US"/>
        </w:rPr>
      </w:pPr>
      <w:proofErr w:type="spellStart"/>
      <w:r w:rsidRPr="00F336DA">
        <w:rPr>
          <w:sz w:val="26"/>
          <w:szCs w:val="26"/>
          <w:lang w:val="en-US"/>
        </w:rPr>
        <w:t>Подільський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Вінницька область</w:t>
      </w:r>
    </w:p>
    <w:p w:rsidR="00411E56" w:rsidRPr="00F336DA" w:rsidRDefault="00411E56" w:rsidP="00411E56">
      <w:pPr>
        <w:pStyle w:val="3"/>
        <w:suppressAutoHyphens/>
        <w:ind w:left="2268" w:firstLine="0"/>
        <w:rPr>
          <w:sz w:val="26"/>
          <w:szCs w:val="26"/>
          <w:lang w:val="en-US"/>
        </w:rPr>
      </w:pPr>
      <w:r w:rsidRPr="00F336DA">
        <w:rPr>
          <w:sz w:val="26"/>
          <w:szCs w:val="26"/>
        </w:rPr>
        <w:t>Тернопільська область</w:t>
      </w:r>
    </w:p>
    <w:p w:rsidR="00411E56" w:rsidRPr="00F336DA" w:rsidRDefault="00411E56" w:rsidP="00411E56">
      <w:pPr>
        <w:pStyle w:val="3"/>
        <w:suppressAutoHyphens/>
        <w:ind w:left="2268" w:firstLine="0"/>
        <w:rPr>
          <w:sz w:val="26"/>
          <w:szCs w:val="26"/>
        </w:rPr>
      </w:pPr>
      <w:r w:rsidRPr="00F336DA">
        <w:rPr>
          <w:sz w:val="26"/>
          <w:szCs w:val="26"/>
        </w:rPr>
        <w:t>Хмельницька область</w:t>
      </w:r>
    </w:p>
    <w:p w:rsidR="00411E56" w:rsidRPr="00F336DA" w:rsidRDefault="00411E56" w:rsidP="00411E56">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Центральний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Київська область</w:t>
      </w:r>
    </w:p>
    <w:p w:rsidR="00411E56" w:rsidRPr="00F336DA" w:rsidRDefault="00411E56" w:rsidP="00411E56">
      <w:pPr>
        <w:pStyle w:val="3"/>
        <w:suppressAutoHyphens/>
        <w:ind w:left="2268" w:firstLine="0"/>
        <w:rPr>
          <w:sz w:val="26"/>
          <w:szCs w:val="26"/>
          <w:lang w:val="en-US"/>
        </w:rPr>
      </w:pPr>
      <w:r w:rsidRPr="00F336DA">
        <w:rPr>
          <w:sz w:val="26"/>
          <w:szCs w:val="26"/>
        </w:rPr>
        <w:t>м.</w:t>
      </w:r>
      <w:r>
        <w:rPr>
          <w:sz w:val="26"/>
          <w:szCs w:val="26"/>
          <w:lang w:val="en-US"/>
        </w:rPr>
        <w:t xml:space="preserve"> </w:t>
      </w:r>
      <w:r w:rsidRPr="00F336DA">
        <w:rPr>
          <w:sz w:val="26"/>
          <w:szCs w:val="26"/>
        </w:rPr>
        <w:t>Київ</w:t>
      </w:r>
    </w:p>
    <w:p w:rsidR="00411E56" w:rsidRPr="00F336DA" w:rsidRDefault="00411E56" w:rsidP="00411E56">
      <w:pPr>
        <w:pStyle w:val="3"/>
        <w:suppressAutoHyphens/>
        <w:ind w:left="2268" w:firstLine="0"/>
        <w:rPr>
          <w:sz w:val="26"/>
          <w:szCs w:val="26"/>
        </w:rPr>
      </w:pPr>
      <w:r w:rsidRPr="00F336DA">
        <w:rPr>
          <w:sz w:val="26"/>
          <w:szCs w:val="26"/>
        </w:rPr>
        <w:t>Черкаська область</w:t>
      </w:r>
    </w:p>
    <w:p w:rsidR="00411E56" w:rsidRPr="00F336DA" w:rsidRDefault="00411E56" w:rsidP="00411E56">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Карпатський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Закарпатська область</w:t>
      </w:r>
    </w:p>
    <w:p w:rsidR="00411E56" w:rsidRPr="00F336DA" w:rsidRDefault="00411E56" w:rsidP="00411E56">
      <w:pPr>
        <w:pStyle w:val="3"/>
        <w:suppressAutoHyphens/>
        <w:ind w:left="2268" w:firstLine="0"/>
        <w:rPr>
          <w:sz w:val="26"/>
          <w:szCs w:val="26"/>
          <w:lang w:val="en-US"/>
        </w:rPr>
      </w:pPr>
      <w:r w:rsidRPr="00F336DA">
        <w:rPr>
          <w:sz w:val="26"/>
          <w:szCs w:val="26"/>
        </w:rPr>
        <w:t>Івано-Франківська область</w:t>
      </w:r>
    </w:p>
    <w:p w:rsidR="00411E56" w:rsidRPr="00F336DA" w:rsidRDefault="00411E56" w:rsidP="00411E56">
      <w:pPr>
        <w:pStyle w:val="3"/>
        <w:suppressAutoHyphens/>
        <w:ind w:left="2268" w:firstLine="0"/>
        <w:rPr>
          <w:sz w:val="26"/>
          <w:szCs w:val="26"/>
        </w:rPr>
      </w:pPr>
      <w:r w:rsidRPr="00F336DA">
        <w:rPr>
          <w:sz w:val="26"/>
          <w:szCs w:val="26"/>
        </w:rPr>
        <w:t>Львівська область</w:t>
      </w:r>
    </w:p>
    <w:p w:rsidR="00411E56" w:rsidRPr="00F336DA" w:rsidRDefault="00411E56" w:rsidP="00411E56">
      <w:pPr>
        <w:pStyle w:val="3"/>
        <w:suppressAutoHyphens/>
        <w:ind w:left="2268" w:firstLine="0"/>
        <w:rPr>
          <w:sz w:val="26"/>
          <w:szCs w:val="26"/>
        </w:rPr>
      </w:pPr>
      <w:r w:rsidRPr="00F336DA">
        <w:rPr>
          <w:sz w:val="26"/>
          <w:szCs w:val="26"/>
        </w:rPr>
        <w:t>Чернівецька область</w:t>
      </w:r>
    </w:p>
    <w:p w:rsidR="00411E56" w:rsidRPr="00F336DA" w:rsidRDefault="00411E56" w:rsidP="00411E56">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Поліський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411E56" w:rsidRPr="00F336DA" w:rsidRDefault="00411E56" w:rsidP="00411E56">
      <w:pPr>
        <w:pStyle w:val="3"/>
        <w:suppressAutoHyphens/>
        <w:ind w:left="2268" w:firstLine="0"/>
        <w:rPr>
          <w:sz w:val="26"/>
          <w:szCs w:val="26"/>
          <w:lang w:val="en-US"/>
        </w:rPr>
      </w:pPr>
      <w:r w:rsidRPr="00F336DA">
        <w:rPr>
          <w:sz w:val="26"/>
          <w:szCs w:val="26"/>
        </w:rPr>
        <w:t>Волинська область</w:t>
      </w:r>
    </w:p>
    <w:p w:rsidR="00411E56" w:rsidRPr="00F336DA" w:rsidRDefault="00411E56" w:rsidP="00411E56">
      <w:pPr>
        <w:pStyle w:val="3"/>
        <w:suppressAutoHyphens/>
        <w:ind w:left="2268" w:firstLine="0"/>
        <w:rPr>
          <w:sz w:val="26"/>
          <w:szCs w:val="26"/>
          <w:lang w:val="en-US"/>
        </w:rPr>
      </w:pPr>
      <w:r w:rsidRPr="00F336DA">
        <w:rPr>
          <w:sz w:val="26"/>
          <w:szCs w:val="26"/>
        </w:rPr>
        <w:t>Житомирська область</w:t>
      </w:r>
    </w:p>
    <w:p w:rsidR="00411E56" w:rsidRPr="00F336DA" w:rsidRDefault="00411E56" w:rsidP="00411E56">
      <w:pPr>
        <w:pStyle w:val="3"/>
        <w:suppressAutoHyphens/>
        <w:ind w:left="2268" w:firstLine="0"/>
        <w:rPr>
          <w:sz w:val="26"/>
          <w:szCs w:val="26"/>
        </w:rPr>
      </w:pPr>
      <w:r w:rsidRPr="00F336DA">
        <w:rPr>
          <w:sz w:val="26"/>
          <w:szCs w:val="26"/>
        </w:rPr>
        <w:t>Рівненська область</w:t>
      </w:r>
    </w:p>
    <w:p w:rsidR="00411E56" w:rsidRPr="00A93194" w:rsidRDefault="00411E56" w:rsidP="00411E56">
      <w:pPr>
        <w:pStyle w:val="3"/>
        <w:suppressAutoHyphens/>
        <w:ind w:left="2268" w:firstLine="0"/>
        <w:rPr>
          <w:sz w:val="26"/>
          <w:szCs w:val="26"/>
        </w:rPr>
      </w:pPr>
      <w:r w:rsidRPr="00A93194">
        <w:rPr>
          <w:sz w:val="26"/>
          <w:szCs w:val="26"/>
        </w:rPr>
        <w:t>Чернігівська область.</w:t>
      </w:r>
    </w:p>
    <w:p w:rsidR="003A0550" w:rsidRDefault="003A0550"/>
    <w:sectPr w:rsidR="003A0550">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6CC" w:rsidRDefault="00A106CC" w:rsidP="00411E56">
      <w:r>
        <w:separator/>
      </w:r>
    </w:p>
  </w:endnote>
  <w:endnote w:type="continuationSeparator" w:id="0">
    <w:p w:rsidR="00A106CC" w:rsidRDefault="00A106CC" w:rsidP="0041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941340">
    <w:pPr>
      <w:pStyle w:val="a6"/>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6CC" w:rsidRDefault="00A106CC" w:rsidP="00411E56">
      <w:r>
        <w:separator/>
      </w:r>
    </w:p>
  </w:footnote>
  <w:footnote w:type="continuationSeparator" w:id="0">
    <w:p w:rsidR="00A106CC" w:rsidRDefault="00A106CC" w:rsidP="00411E56">
      <w:r>
        <w:continuationSeparator/>
      </w:r>
    </w:p>
  </w:footnote>
  <w:footnote w:id="1">
    <w:p w:rsidR="00411E56" w:rsidRDefault="00411E56" w:rsidP="00411E56">
      <w:pPr>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 xml:space="preserve">Eurostat, Luxembourg 1997. </w:t>
      </w:r>
    </w:p>
    <w:p w:rsidR="00411E56" w:rsidRPr="00565544" w:rsidRDefault="00411E56" w:rsidP="00411E56">
      <w:pPr>
        <w:jc w:val="both"/>
        <w:rPr>
          <w:sz w:val="20"/>
        </w:rPr>
      </w:pPr>
      <w:r>
        <w:rPr>
          <w:rStyle w:val="a3"/>
          <w:sz w:val="22"/>
          <w:szCs w:val="22"/>
          <w:lang w:val="en-US"/>
        </w:rPr>
        <w:t>2</w:t>
      </w:r>
      <w:r w:rsidRPr="007B07D6">
        <w:t xml:space="preserve"> </w:t>
      </w:r>
      <w:r w:rsidRPr="007B07D6">
        <w:rPr>
          <w:sz w:val="20"/>
        </w:rPr>
        <w:t xml:space="preserve">Зазначена класифікація гармонізована з Класифікацією індивідуального споживання за цілями Європейського Союзу – </w:t>
      </w:r>
      <w:proofErr w:type="spellStart"/>
      <w:r w:rsidRPr="007B07D6">
        <w:rPr>
          <w:sz w:val="20"/>
        </w:rPr>
        <w:t>Classification</w:t>
      </w:r>
      <w:proofErr w:type="spellEnd"/>
      <w:r w:rsidRPr="007B07D6">
        <w:rPr>
          <w:sz w:val="20"/>
        </w:rPr>
        <w:t xml:space="preserve"> </w:t>
      </w:r>
      <w:proofErr w:type="spellStart"/>
      <w:r w:rsidRPr="007B07D6">
        <w:rPr>
          <w:sz w:val="20"/>
        </w:rPr>
        <w:t>of</w:t>
      </w:r>
      <w:proofErr w:type="spellEnd"/>
      <w:r w:rsidRPr="007B07D6">
        <w:rPr>
          <w:sz w:val="20"/>
        </w:rPr>
        <w:t xml:space="preserve"> </w:t>
      </w:r>
      <w:proofErr w:type="spellStart"/>
      <w:r w:rsidRPr="007B07D6">
        <w:rPr>
          <w:sz w:val="20"/>
        </w:rPr>
        <w:t>Individual</w:t>
      </w:r>
      <w:proofErr w:type="spellEnd"/>
      <w:r w:rsidRPr="007B07D6">
        <w:rPr>
          <w:sz w:val="20"/>
        </w:rPr>
        <w:t xml:space="preserve"> </w:t>
      </w:r>
      <w:proofErr w:type="spellStart"/>
      <w:r w:rsidRPr="007B07D6">
        <w:rPr>
          <w:sz w:val="20"/>
        </w:rPr>
        <w:t>Consumption</w:t>
      </w:r>
      <w:proofErr w:type="spellEnd"/>
      <w:r w:rsidRPr="007B07D6">
        <w:rPr>
          <w:sz w:val="20"/>
        </w:rPr>
        <w:t xml:space="preserve"> </w:t>
      </w:r>
      <w:proofErr w:type="spellStart"/>
      <w:r w:rsidRPr="007B07D6">
        <w:rPr>
          <w:sz w:val="20"/>
        </w:rPr>
        <w:t>by</w:t>
      </w:r>
      <w:proofErr w:type="spellEnd"/>
      <w:r w:rsidRPr="007B07D6">
        <w:rPr>
          <w:sz w:val="20"/>
        </w:rPr>
        <w:t xml:space="preserve"> </w:t>
      </w:r>
      <w:proofErr w:type="spellStart"/>
      <w:r w:rsidRPr="007B07D6">
        <w:rPr>
          <w:sz w:val="20"/>
        </w:rPr>
        <w:t>Purpose</w:t>
      </w:r>
      <w:proofErr w:type="spellEnd"/>
      <w:r w:rsidRPr="007B07D6">
        <w:rPr>
          <w:sz w:val="20"/>
        </w:rPr>
        <w:t xml:space="preserve"> (</w:t>
      </w:r>
      <w:proofErr w:type="spellStart"/>
      <w:r w:rsidRPr="007B07D6">
        <w:rPr>
          <w:sz w:val="20"/>
        </w:rPr>
        <w:t>COICOP-HBS</w:t>
      </w:r>
      <w:proofErr w:type="spellEnd"/>
      <w:r w:rsidRPr="007B07D6">
        <w:rPr>
          <w:sz w:val="20"/>
        </w:rPr>
        <w:t>), 2003.</w:t>
      </w:r>
    </w:p>
    <w:p w:rsidR="00411E56" w:rsidRPr="00411E56" w:rsidRDefault="00411E56" w:rsidP="00411E56">
      <w:pPr>
        <w:pStyle w:val="a4"/>
        <w:jc w:val="both"/>
        <w:rPr>
          <w:sz w:val="19"/>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21"/>
    <w:rsid w:val="003A0550"/>
    <w:rsid w:val="00411E56"/>
    <w:rsid w:val="00941340"/>
    <w:rsid w:val="00A106CC"/>
    <w:rsid w:val="00DD6834"/>
    <w:rsid w:val="00E2183A"/>
    <w:rsid w:val="00F957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8638A-F343-4173-A673-781F93AB1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E56"/>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411E56"/>
    <w:pPr>
      <w:widowControl w:val="0"/>
      <w:ind w:firstLine="851"/>
      <w:jc w:val="both"/>
    </w:pPr>
    <w:rPr>
      <w:sz w:val="24"/>
    </w:rPr>
  </w:style>
  <w:style w:type="character" w:styleId="a3">
    <w:name w:val="footnote reference"/>
    <w:semiHidden/>
    <w:rsid w:val="00411E56"/>
    <w:rPr>
      <w:vertAlign w:val="superscript"/>
    </w:rPr>
  </w:style>
  <w:style w:type="paragraph" w:styleId="a4">
    <w:name w:val="footnote text"/>
    <w:basedOn w:val="a"/>
    <w:link w:val="a5"/>
    <w:semiHidden/>
    <w:rsid w:val="00411E56"/>
    <w:pPr>
      <w:widowControl w:val="0"/>
    </w:pPr>
    <w:rPr>
      <w:sz w:val="20"/>
    </w:rPr>
  </w:style>
  <w:style w:type="character" w:customStyle="1" w:styleId="a5">
    <w:name w:val="Текст сноски Знак"/>
    <w:basedOn w:val="a0"/>
    <w:link w:val="a4"/>
    <w:semiHidden/>
    <w:rsid w:val="00411E56"/>
    <w:rPr>
      <w:rFonts w:ascii="Times New Roman" w:eastAsia="Times New Roman" w:hAnsi="Times New Roman" w:cs="Times New Roman"/>
      <w:sz w:val="20"/>
      <w:szCs w:val="20"/>
      <w:lang w:eastAsia="uk-UA"/>
    </w:rPr>
  </w:style>
  <w:style w:type="paragraph" w:styleId="3">
    <w:name w:val="Body Text Indent 3"/>
    <w:basedOn w:val="a"/>
    <w:link w:val="30"/>
    <w:rsid w:val="00411E56"/>
    <w:pPr>
      <w:ind w:firstLine="851"/>
      <w:jc w:val="both"/>
    </w:pPr>
  </w:style>
  <w:style w:type="character" w:customStyle="1" w:styleId="30">
    <w:name w:val="Основной текст с отступом 3 Знак"/>
    <w:basedOn w:val="a0"/>
    <w:link w:val="3"/>
    <w:rsid w:val="00411E56"/>
    <w:rPr>
      <w:rFonts w:ascii="Times New Roman" w:eastAsia="Times New Roman" w:hAnsi="Times New Roman" w:cs="Times New Roman"/>
      <w:sz w:val="28"/>
      <w:szCs w:val="20"/>
      <w:lang w:eastAsia="uk-UA"/>
    </w:rPr>
  </w:style>
  <w:style w:type="paragraph" w:styleId="a6">
    <w:name w:val="footer"/>
    <w:basedOn w:val="a"/>
    <w:link w:val="a7"/>
    <w:rsid w:val="00411E56"/>
    <w:pPr>
      <w:tabs>
        <w:tab w:val="center" w:pos="4153"/>
        <w:tab w:val="right" w:pos="8306"/>
      </w:tabs>
    </w:pPr>
  </w:style>
  <w:style w:type="character" w:customStyle="1" w:styleId="a7">
    <w:name w:val="Нижний колонтитул Знак"/>
    <w:basedOn w:val="a0"/>
    <w:link w:val="a6"/>
    <w:rsid w:val="00411E56"/>
    <w:rPr>
      <w:rFonts w:ascii="Times New Roman" w:eastAsia="Times New Roman" w:hAnsi="Times New Roman" w:cs="Times New Roman"/>
      <w:sz w:val="28"/>
      <w:szCs w:val="20"/>
      <w:lang w:eastAsia="uk-UA"/>
    </w:rPr>
  </w:style>
  <w:style w:type="character" w:styleId="a8">
    <w:name w:val="page number"/>
    <w:basedOn w:val="a0"/>
    <w:rsid w:val="00411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4703</Words>
  <Characters>2682</Characters>
  <Application>Microsoft Office Word</Application>
  <DocSecurity>0</DocSecurity>
  <Lines>22</Lines>
  <Paragraphs>14</Paragraphs>
  <ScaleCrop>false</ScaleCrop>
  <Company>Hewlett-Packard Company</Company>
  <LinksUpToDate>false</LinksUpToDate>
  <CharactersWithSpaces>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2017-10-31T12:18:00Z</dcterms:created>
  <dcterms:modified xsi:type="dcterms:W3CDTF">2017-11-02T13:41:00Z</dcterms:modified>
</cp:coreProperties>
</file>